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004D" w14:textId="75782C83" w:rsidR="000C78FB" w:rsidRDefault="006470FF" w:rsidP="002D0222">
      <w:pPr>
        <w:spacing w:after="0"/>
        <w:jc w:val="right"/>
        <w:rPr>
          <w:rFonts w:eastAsiaTheme="minorEastAsia" w:cs="Arial"/>
          <w:b/>
          <w:bCs/>
          <w:color w:val="4F81BD" w:themeColor="accent1"/>
          <w:szCs w:val="22"/>
          <w:lang w:val="en-AU"/>
        </w:rPr>
      </w:pPr>
      <w:bookmarkStart w:id="0" w:name="_Toc17106185"/>
      <w:bookmarkStart w:id="1" w:name="_Toc17140012"/>
      <w:r w:rsidRPr="002A53B6">
        <w:rPr>
          <w:rFonts w:cs="Arial"/>
          <w:noProof/>
          <w:lang w:val="en-AU"/>
        </w:rPr>
        <w:drawing>
          <wp:anchor distT="0" distB="0" distL="114300" distR="114300" simplePos="0" relativeHeight="251666944" behindDoc="0" locked="0" layoutInCell="1" allowOverlap="1" wp14:anchorId="1569F793" wp14:editId="6004DAA3">
            <wp:simplePos x="0" y="0"/>
            <wp:positionH relativeFrom="page">
              <wp:align>left</wp:align>
            </wp:positionH>
            <wp:positionV relativeFrom="paragraph">
              <wp:posOffset>-877077</wp:posOffset>
            </wp:positionV>
            <wp:extent cx="217785" cy="7556740"/>
            <wp:effectExtent l="0" t="0" r="0" b="0"/>
            <wp:wrapNone/>
            <wp:docPr id="4" name="Picture 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785" cy="7556740"/>
                    </a:xfrm>
                    <a:prstGeom prst="rect">
                      <a:avLst/>
                    </a:prstGeom>
                    <a:noFill/>
                  </pic:spPr>
                </pic:pic>
              </a:graphicData>
            </a:graphic>
            <wp14:sizeRelH relativeFrom="page">
              <wp14:pctWidth>0</wp14:pctWidth>
            </wp14:sizeRelH>
            <wp14:sizeRelV relativeFrom="page">
              <wp14:pctHeight>0</wp14:pctHeight>
            </wp14:sizeRelV>
          </wp:anchor>
        </w:drawing>
      </w:r>
    </w:p>
    <w:sdt>
      <w:sdtPr>
        <w:rPr>
          <w:rFonts w:eastAsiaTheme="minorEastAsia" w:cs="Arial"/>
          <w:b/>
          <w:bCs/>
          <w:color w:val="4F81BD" w:themeColor="accent1"/>
          <w:szCs w:val="22"/>
          <w:lang w:val="en-AU"/>
        </w:rPr>
        <w:id w:val="-1388338702"/>
        <w:docPartObj>
          <w:docPartGallery w:val="Cover Pages"/>
          <w:docPartUnique/>
        </w:docPartObj>
      </w:sdtPr>
      <w:sdtEndPr>
        <w:rPr>
          <w:rFonts w:eastAsia="Times New Roman"/>
          <w:b w:val="0"/>
          <w:bCs w:val="0"/>
          <w:color w:val="auto"/>
          <w:szCs w:val="20"/>
        </w:rPr>
      </w:sdtEndPr>
      <w:sdtContent>
        <w:bookmarkEnd w:id="1" w:displacedByCustomXml="prev"/>
        <w:bookmarkEnd w:id="0" w:displacedByCustomXml="prev"/>
        <w:bookmarkStart w:id="2" w:name="_Toc17106187" w:displacedByCustomXml="prev"/>
        <w:p w14:paraId="4A0840A3" w14:textId="77777777" w:rsidR="006470FF" w:rsidRDefault="006470FF" w:rsidP="002D0222">
          <w:pPr>
            <w:spacing w:after="0"/>
            <w:jc w:val="right"/>
            <w:rPr>
              <w:rFonts w:eastAsiaTheme="minorEastAsia" w:cs="Arial"/>
              <w:b/>
              <w:bCs/>
              <w:color w:val="4F81BD" w:themeColor="accent1"/>
              <w:szCs w:val="22"/>
              <w:lang w:val="en-AU"/>
            </w:rPr>
          </w:pPr>
        </w:p>
        <w:p w14:paraId="761AAA0F" w14:textId="77777777" w:rsidR="006470FF" w:rsidRDefault="006470FF" w:rsidP="002D0222">
          <w:pPr>
            <w:spacing w:after="0"/>
            <w:jc w:val="right"/>
            <w:rPr>
              <w:rFonts w:eastAsiaTheme="minorEastAsia" w:cs="Arial"/>
              <w:b/>
              <w:bCs/>
              <w:color w:val="4F81BD" w:themeColor="accent1"/>
              <w:szCs w:val="22"/>
              <w:lang w:val="en-AU"/>
            </w:rPr>
          </w:pPr>
        </w:p>
        <w:p w14:paraId="39242CFA" w14:textId="5AE03226" w:rsidR="00FC4956" w:rsidRPr="002A53B6" w:rsidRDefault="00FC4956" w:rsidP="002D0222">
          <w:pPr>
            <w:spacing w:after="0"/>
            <w:jc w:val="right"/>
            <w:rPr>
              <w:rFonts w:eastAsiaTheme="minorEastAsia" w:cs="Arial"/>
              <w:b/>
              <w:bCs/>
              <w:color w:val="4F81BD" w:themeColor="accent1"/>
              <w:szCs w:val="22"/>
              <w:lang w:val="en-AU"/>
            </w:rPr>
          </w:pPr>
          <w:bookmarkStart w:id="3" w:name="_Toc10551076"/>
          <w:bookmarkStart w:id="4" w:name="_Toc10551116"/>
        </w:p>
        <w:p w14:paraId="6E6E9BE7" w14:textId="77777777" w:rsidR="00F53EF4" w:rsidRPr="002A53B6" w:rsidRDefault="00F53EF4" w:rsidP="002D0222">
          <w:pPr>
            <w:spacing w:after="0"/>
            <w:jc w:val="right"/>
            <w:rPr>
              <w:rFonts w:cs="Arial"/>
              <w:bCs/>
              <w:sz w:val="24"/>
              <w:szCs w:val="24"/>
            </w:rPr>
          </w:pPr>
        </w:p>
        <w:p w14:paraId="3BDE38BB" w14:textId="6186D615" w:rsidR="00FC4956" w:rsidRPr="002A53B6" w:rsidRDefault="00FC4956" w:rsidP="002D0222">
          <w:pPr>
            <w:spacing w:after="0"/>
            <w:jc w:val="both"/>
            <w:rPr>
              <w:rFonts w:cs="Arial"/>
              <w:sz w:val="24"/>
              <w:szCs w:val="24"/>
              <w:lang w:val="en-AU"/>
            </w:rPr>
          </w:pPr>
        </w:p>
        <w:p w14:paraId="0CCFD8D2" w14:textId="7BCBD174" w:rsidR="00CB51D5" w:rsidRPr="002A53B6" w:rsidRDefault="00CB51D5" w:rsidP="002D0222">
          <w:pPr>
            <w:spacing w:after="0"/>
            <w:jc w:val="both"/>
            <w:rPr>
              <w:rFonts w:cs="Arial"/>
              <w:sz w:val="24"/>
              <w:szCs w:val="24"/>
              <w:lang w:val="en-AU"/>
            </w:rPr>
          </w:pPr>
        </w:p>
        <w:p w14:paraId="552F532A" w14:textId="77777777" w:rsidR="00667114" w:rsidRPr="002A53B6" w:rsidRDefault="00667114" w:rsidP="002D0222">
          <w:pPr>
            <w:spacing w:after="0"/>
            <w:jc w:val="both"/>
            <w:rPr>
              <w:rFonts w:cs="Arial"/>
              <w:sz w:val="24"/>
              <w:szCs w:val="24"/>
              <w:lang w:val="en-AU"/>
            </w:rPr>
          </w:pPr>
        </w:p>
        <w:p w14:paraId="364D3955" w14:textId="04C9C3D3" w:rsidR="007A420E" w:rsidRPr="00586529" w:rsidRDefault="007A420E" w:rsidP="002D0222">
          <w:pPr>
            <w:pStyle w:val="Heading1"/>
            <w:spacing w:before="0" w:after="0"/>
            <w:rPr>
              <w:rFonts w:cs="Arial"/>
              <w:b w:val="0"/>
              <w:bCs w:val="0"/>
              <w:sz w:val="40"/>
              <w:szCs w:val="40"/>
            </w:rPr>
          </w:pPr>
          <w:bookmarkStart w:id="5" w:name="_Toc22625473"/>
          <w:r w:rsidRPr="00621A57">
            <w:rPr>
              <w:rFonts w:cs="Arial"/>
              <w:b w:val="0"/>
              <w:bCs w:val="0"/>
              <w:sz w:val="40"/>
              <w:szCs w:val="40"/>
            </w:rPr>
            <w:t>Consult</w:t>
          </w:r>
          <w:r w:rsidR="008C3BBF">
            <w:rPr>
              <w:rFonts w:cs="Arial"/>
              <w:b w:val="0"/>
              <w:bCs w:val="0"/>
              <w:sz w:val="40"/>
              <w:szCs w:val="40"/>
            </w:rPr>
            <w:t>a</w:t>
          </w:r>
          <w:r w:rsidRPr="00621A57">
            <w:rPr>
              <w:rFonts w:cs="Arial"/>
              <w:b w:val="0"/>
              <w:bCs w:val="0"/>
              <w:sz w:val="40"/>
              <w:szCs w:val="40"/>
            </w:rPr>
            <w:t>t</w:t>
          </w:r>
          <w:r w:rsidR="00246269">
            <w:rPr>
              <w:rFonts w:cs="Arial"/>
              <w:b w:val="0"/>
              <w:bCs w:val="0"/>
              <w:sz w:val="40"/>
              <w:szCs w:val="40"/>
            </w:rPr>
            <w:t>i</w:t>
          </w:r>
          <w:r w:rsidRPr="00621A57">
            <w:rPr>
              <w:rFonts w:cs="Arial"/>
              <w:b w:val="0"/>
              <w:bCs w:val="0"/>
              <w:sz w:val="40"/>
              <w:szCs w:val="40"/>
            </w:rPr>
            <w:t>on report</w:t>
          </w:r>
        </w:p>
        <w:p w14:paraId="0B974167" w14:textId="77777777" w:rsidR="007A420E" w:rsidRPr="00586529" w:rsidRDefault="007A420E" w:rsidP="00621A57">
          <w:pPr>
            <w:spacing w:after="0"/>
          </w:pPr>
        </w:p>
        <w:p w14:paraId="57332377" w14:textId="33F0C1F2" w:rsidR="00FC4956" w:rsidRPr="00586529" w:rsidRDefault="00FC4956" w:rsidP="00BD3F4B">
          <w:pPr>
            <w:pStyle w:val="Heading2"/>
          </w:pPr>
          <w:bookmarkStart w:id="6" w:name="_Toc117175556"/>
          <w:r w:rsidRPr="00586529">
            <w:t>Brisbane City Plan 2014</w:t>
          </w:r>
          <w:bookmarkEnd w:id="5"/>
          <w:bookmarkEnd w:id="6"/>
        </w:p>
        <w:p w14:paraId="5FE47BA6" w14:textId="78F66767" w:rsidR="00FC4956" w:rsidRPr="00586529" w:rsidRDefault="0053307C" w:rsidP="00BD3F4B">
          <w:pPr>
            <w:pStyle w:val="Heading3"/>
          </w:pPr>
          <w:bookmarkStart w:id="7" w:name="_Toc22625474"/>
          <w:bookmarkStart w:id="8" w:name="_Hlk21680811"/>
          <w:bookmarkStart w:id="9" w:name="_Toc117175557"/>
          <w:r w:rsidRPr="00586529">
            <w:t xml:space="preserve">Major </w:t>
          </w:r>
          <w:r w:rsidR="0031043E" w:rsidRPr="00586529">
            <w:t xml:space="preserve">amendment package </w:t>
          </w:r>
          <w:bookmarkEnd w:id="3"/>
          <w:bookmarkEnd w:id="4"/>
          <w:bookmarkEnd w:id="7"/>
          <w:bookmarkEnd w:id="8"/>
          <w:r w:rsidR="0041563A" w:rsidRPr="00586529">
            <w:t>K</w:t>
          </w:r>
          <w:bookmarkEnd w:id="9"/>
        </w:p>
        <w:p w14:paraId="5B686CF7" w14:textId="77777777" w:rsidR="00FC4956" w:rsidRPr="002A53B6" w:rsidRDefault="00FC4956" w:rsidP="002D0222">
          <w:pPr>
            <w:spacing w:after="0"/>
            <w:jc w:val="both"/>
            <w:rPr>
              <w:rFonts w:cs="Arial"/>
              <w:szCs w:val="22"/>
              <w:lang w:val="en-AU"/>
            </w:rPr>
          </w:pPr>
        </w:p>
        <w:p w14:paraId="50291B84" w14:textId="77777777" w:rsidR="00FC4956" w:rsidRPr="002A53B6" w:rsidRDefault="00FC4956" w:rsidP="002D0222">
          <w:pPr>
            <w:spacing w:after="0"/>
            <w:jc w:val="both"/>
            <w:rPr>
              <w:rFonts w:cs="Arial"/>
              <w:szCs w:val="22"/>
              <w:lang w:val="en-AU"/>
            </w:rPr>
          </w:pPr>
        </w:p>
        <w:p w14:paraId="54118459" w14:textId="77777777" w:rsidR="00FC4956" w:rsidRPr="002A53B6" w:rsidRDefault="00FC4956" w:rsidP="002D0222">
          <w:pPr>
            <w:spacing w:after="0"/>
            <w:jc w:val="both"/>
            <w:rPr>
              <w:rFonts w:cs="Arial"/>
              <w:sz w:val="24"/>
              <w:szCs w:val="24"/>
              <w:lang w:val="en-AU"/>
            </w:rPr>
          </w:pPr>
        </w:p>
        <w:p w14:paraId="3F0F2BAA" w14:textId="77777777" w:rsidR="00FC4956" w:rsidRPr="002A53B6" w:rsidRDefault="00FC4956" w:rsidP="002D0222">
          <w:pPr>
            <w:spacing w:after="0"/>
            <w:jc w:val="both"/>
            <w:rPr>
              <w:rFonts w:cs="Arial"/>
              <w:sz w:val="24"/>
              <w:szCs w:val="24"/>
              <w:lang w:val="en-AU"/>
            </w:rPr>
          </w:pPr>
          <w:r w:rsidRPr="002A53B6">
            <w:rPr>
              <w:rFonts w:cs="Arial"/>
              <w:sz w:val="24"/>
              <w:szCs w:val="24"/>
              <w:lang w:val="en-AU"/>
            </w:rPr>
            <w:t>Brisbane City Council</w:t>
          </w:r>
        </w:p>
        <w:p w14:paraId="440AF0B9" w14:textId="77777777" w:rsidR="00FC4956" w:rsidRPr="002A53B6" w:rsidRDefault="00FC4956" w:rsidP="002D0222">
          <w:pPr>
            <w:spacing w:after="0"/>
            <w:jc w:val="both"/>
            <w:rPr>
              <w:rFonts w:cs="Arial"/>
              <w:sz w:val="24"/>
              <w:szCs w:val="24"/>
              <w:lang w:val="en-AU"/>
            </w:rPr>
          </w:pPr>
        </w:p>
        <w:p w14:paraId="72C1CC7C" w14:textId="680A2117" w:rsidR="00FC4956" w:rsidRPr="002A53B6" w:rsidRDefault="006272BF" w:rsidP="002D0222">
          <w:pPr>
            <w:spacing w:after="0"/>
            <w:jc w:val="both"/>
            <w:rPr>
              <w:rFonts w:cs="Arial"/>
              <w:sz w:val="24"/>
              <w:szCs w:val="24"/>
              <w:lang w:val="en-AU"/>
            </w:rPr>
          </w:pPr>
          <w:r>
            <w:rPr>
              <w:rFonts w:cs="Arial"/>
              <w:sz w:val="24"/>
              <w:szCs w:val="24"/>
              <w:lang w:val="en-AU"/>
            </w:rPr>
            <w:t>September</w:t>
          </w:r>
          <w:r w:rsidR="00820EED" w:rsidRPr="002A53B6">
            <w:rPr>
              <w:rFonts w:cs="Arial"/>
              <w:sz w:val="24"/>
              <w:szCs w:val="24"/>
              <w:lang w:val="en-AU"/>
            </w:rPr>
            <w:t xml:space="preserve"> </w:t>
          </w:r>
          <w:r w:rsidR="0031043E" w:rsidRPr="002A53B6">
            <w:rPr>
              <w:rFonts w:cs="Arial"/>
              <w:sz w:val="24"/>
              <w:szCs w:val="24"/>
              <w:lang w:val="en-AU"/>
            </w:rPr>
            <w:t>202</w:t>
          </w:r>
          <w:r w:rsidR="0041563A" w:rsidRPr="002A53B6">
            <w:rPr>
              <w:rFonts w:cs="Arial"/>
              <w:sz w:val="24"/>
              <w:szCs w:val="24"/>
              <w:lang w:val="en-AU"/>
            </w:rPr>
            <w:t>2</w:t>
          </w:r>
        </w:p>
        <w:bookmarkEnd w:id="2"/>
        <w:p w14:paraId="710BF504" w14:textId="77777777" w:rsidR="000B651B" w:rsidRPr="002A53B6" w:rsidRDefault="000B651B" w:rsidP="002D0222">
          <w:pPr>
            <w:spacing w:after="0"/>
            <w:rPr>
              <w:rFonts w:cs="Arial"/>
              <w:lang w:val="en-AU"/>
            </w:rPr>
            <w:sectPr w:rsidR="000B651B" w:rsidRPr="002A53B6" w:rsidSect="003B2DDE">
              <w:footerReference w:type="default" r:id="rId9"/>
              <w:footerReference w:type="first" r:id="rId10"/>
              <w:pgSz w:w="16838" w:h="11906" w:orient="landscape"/>
              <w:pgMar w:top="1276" w:right="1440" w:bottom="1440" w:left="1440" w:header="708" w:footer="708" w:gutter="0"/>
              <w:pgNumType w:start="0"/>
              <w:cols w:space="708"/>
              <w:titlePg/>
              <w:docGrid w:linePitch="360"/>
            </w:sectPr>
          </w:pPr>
        </w:p>
        <w:p w14:paraId="0592AB86" w14:textId="5F2A33A4" w:rsidR="00FC4956" w:rsidRPr="002A53B6" w:rsidRDefault="00FC4956" w:rsidP="002D0222">
          <w:pPr>
            <w:spacing w:after="0"/>
            <w:rPr>
              <w:rFonts w:cs="Arial"/>
              <w:lang w:val="en-AU"/>
            </w:rPr>
          </w:pPr>
          <w:r w:rsidRPr="002A53B6">
            <w:rPr>
              <w:rFonts w:cs="Arial"/>
              <w:lang w:val="en-AU"/>
            </w:rPr>
            <w:lastRenderedPageBreak/>
            <w:t>This report has been produced by:</w:t>
          </w:r>
        </w:p>
        <w:p w14:paraId="66CAE462" w14:textId="77777777" w:rsidR="00FC4956" w:rsidRPr="002A53B6" w:rsidRDefault="00FC4956" w:rsidP="002D0222">
          <w:pPr>
            <w:spacing w:after="0"/>
            <w:rPr>
              <w:rFonts w:cs="Arial"/>
              <w:lang w:val="en-AU"/>
            </w:rPr>
          </w:pPr>
        </w:p>
        <w:p w14:paraId="10A85FFE" w14:textId="77777777" w:rsidR="00FC4956" w:rsidRPr="002A53B6" w:rsidRDefault="00FC4956" w:rsidP="002D0222">
          <w:pPr>
            <w:spacing w:after="0"/>
            <w:rPr>
              <w:rFonts w:cs="Arial"/>
              <w:lang w:val="en-AU"/>
            </w:rPr>
          </w:pPr>
          <w:r w:rsidRPr="002A53B6">
            <w:rPr>
              <w:rFonts w:cs="Arial"/>
              <w:lang w:val="en-AU"/>
            </w:rPr>
            <w:t>City Planning and Economic Development, City Planning and Sustainability, Brisbane City Council</w:t>
          </w:r>
        </w:p>
        <w:p w14:paraId="26774554" w14:textId="77777777" w:rsidR="00FC4956" w:rsidRPr="002A53B6" w:rsidRDefault="00FC4956" w:rsidP="002D0222">
          <w:pPr>
            <w:spacing w:after="0"/>
            <w:rPr>
              <w:rFonts w:cs="Arial"/>
              <w:lang w:val="en-AU"/>
            </w:rPr>
          </w:pPr>
          <w:r w:rsidRPr="002A53B6">
            <w:rPr>
              <w:rFonts w:cs="Arial"/>
              <w:lang w:val="en-AU"/>
            </w:rPr>
            <w:t>Brisbane Square, 266 George Street, Brisbane QLD 4000</w:t>
          </w:r>
        </w:p>
        <w:p w14:paraId="48AB67E1" w14:textId="77777777" w:rsidR="00FC4956" w:rsidRPr="002A53B6" w:rsidRDefault="00FC4956" w:rsidP="002D0222">
          <w:pPr>
            <w:spacing w:after="0"/>
            <w:rPr>
              <w:rFonts w:cs="Arial"/>
              <w:lang w:val="en-AU"/>
            </w:rPr>
          </w:pPr>
          <w:r w:rsidRPr="002A53B6">
            <w:rPr>
              <w:rFonts w:cs="Arial"/>
              <w:lang w:val="en-AU"/>
            </w:rPr>
            <w:t>GPO Box 1434, Brisbane QLD 4001</w:t>
          </w:r>
        </w:p>
        <w:p w14:paraId="72BCFDB3" w14:textId="77777777" w:rsidR="003A27B6" w:rsidRPr="002A53B6" w:rsidRDefault="00BB03A4" w:rsidP="002D0222">
          <w:pPr>
            <w:spacing w:after="0"/>
            <w:rPr>
              <w:rFonts w:cs="Arial"/>
              <w:lang w:val="en-AU"/>
            </w:rPr>
          </w:pPr>
        </w:p>
      </w:sdtContent>
    </w:sdt>
    <w:p w14:paraId="575DA97F" w14:textId="77777777" w:rsidR="00046993" w:rsidRPr="002A53B6" w:rsidRDefault="00046993" w:rsidP="002D0222">
      <w:pPr>
        <w:spacing w:after="0"/>
        <w:rPr>
          <w:rFonts w:cs="Arial"/>
          <w:lang w:val="en-AU"/>
        </w:rPr>
      </w:pPr>
      <w:r w:rsidRPr="002A53B6">
        <w:rPr>
          <w:rFonts w:cs="Arial"/>
          <w:lang w:val="en-AU"/>
        </w:rPr>
        <w:br w:type="page"/>
      </w:r>
    </w:p>
    <w:sdt>
      <w:sdtPr>
        <w:rPr>
          <w:rFonts w:ascii="Arial" w:eastAsia="Times New Roman" w:hAnsi="Arial" w:cs="Arial"/>
          <w:color w:val="auto"/>
          <w:sz w:val="22"/>
          <w:szCs w:val="20"/>
          <w:lang w:val="en-AU" w:eastAsia="en-AU"/>
        </w:rPr>
        <w:id w:val="-1596778930"/>
        <w:docPartObj>
          <w:docPartGallery w:val="Table of Contents"/>
          <w:docPartUnique/>
        </w:docPartObj>
      </w:sdtPr>
      <w:sdtEndPr>
        <w:rPr>
          <w:b/>
          <w:bCs/>
          <w:noProof/>
          <w:sz w:val="20"/>
        </w:rPr>
      </w:sdtEndPr>
      <w:sdtContent>
        <w:p w14:paraId="3F3C5583" w14:textId="4B43E393" w:rsidR="00046993" w:rsidRPr="002A53B6" w:rsidRDefault="00046993" w:rsidP="002D0222">
          <w:pPr>
            <w:pStyle w:val="TOCHeading"/>
            <w:spacing w:before="0" w:line="240" w:lineRule="auto"/>
            <w:rPr>
              <w:rStyle w:val="Heading3Char"/>
              <w:rFonts w:eastAsiaTheme="majorEastAsia" w:cs="Arial"/>
              <w:b w:val="0"/>
              <w:color w:val="auto"/>
              <w:lang w:val="en-AU"/>
            </w:rPr>
          </w:pPr>
          <w:r w:rsidRPr="002A53B6">
            <w:rPr>
              <w:rStyle w:val="Heading3Char"/>
              <w:rFonts w:eastAsiaTheme="majorEastAsia" w:cs="Arial"/>
              <w:b w:val="0"/>
              <w:color w:val="auto"/>
              <w:lang w:val="en-AU"/>
            </w:rPr>
            <w:t>Contents</w:t>
          </w:r>
        </w:p>
        <w:p w14:paraId="067E65F5" w14:textId="77777777" w:rsidR="00CB51D5" w:rsidRPr="002A53B6" w:rsidRDefault="00CB51D5" w:rsidP="002D0222">
          <w:pPr>
            <w:spacing w:after="0"/>
            <w:rPr>
              <w:rFonts w:eastAsiaTheme="majorEastAsia" w:cs="Arial"/>
              <w:lang w:val="en-AU"/>
            </w:rPr>
          </w:pPr>
        </w:p>
        <w:p w14:paraId="0F4B1700" w14:textId="77777777" w:rsidR="00292B64" w:rsidRPr="002A53B6" w:rsidRDefault="00292B64" w:rsidP="002D0222">
          <w:pPr>
            <w:pStyle w:val="TOC2"/>
            <w:tabs>
              <w:tab w:val="left" w:pos="660"/>
              <w:tab w:val="right" w:leader="dot" w:pos="13948"/>
            </w:tabs>
            <w:spacing w:after="0"/>
            <w:rPr>
              <w:rFonts w:cs="Arial"/>
              <w:sz w:val="22"/>
              <w:szCs w:val="22"/>
              <w:lang w:val="en-AU"/>
            </w:rPr>
          </w:pPr>
        </w:p>
        <w:p w14:paraId="4D844E86" w14:textId="36D7EEF1" w:rsidR="00BD3F4B" w:rsidRDefault="003160BA">
          <w:pPr>
            <w:pStyle w:val="TOC2"/>
            <w:tabs>
              <w:tab w:val="right" w:leader="dot" w:pos="13948"/>
            </w:tabs>
            <w:rPr>
              <w:rFonts w:asciiTheme="minorHAnsi" w:eastAsiaTheme="minorEastAsia" w:hAnsiTheme="minorHAnsi" w:cstheme="minorBidi"/>
              <w:noProof/>
              <w:sz w:val="22"/>
              <w:szCs w:val="22"/>
              <w:lang w:val="en-AU"/>
            </w:rPr>
          </w:pPr>
          <w:r w:rsidRPr="002A53B6">
            <w:rPr>
              <w:rFonts w:cs="Arial"/>
              <w:sz w:val="22"/>
              <w:szCs w:val="22"/>
              <w:lang w:val="en-AU"/>
            </w:rPr>
            <w:fldChar w:fldCharType="begin"/>
          </w:r>
          <w:r w:rsidRPr="002A53B6">
            <w:rPr>
              <w:rFonts w:cs="Arial"/>
              <w:sz w:val="22"/>
              <w:szCs w:val="22"/>
              <w:lang w:val="en-AU"/>
            </w:rPr>
            <w:instrText xml:space="preserve"> TOC \o "2-3" \h \z \u \t "Title,1" </w:instrText>
          </w:r>
          <w:r w:rsidRPr="002A53B6">
            <w:rPr>
              <w:rFonts w:cs="Arial"/>
              <w:sz w:val="22"/>
              <w:szCs w:val="22"/>
              <w:lang w:val="en-AU"/>
            </w:rPr>
            <w:fldChar w:fldCharType="separate"/>
          </w:r>
          <w:hyperlink w:anchor="_Toc117175556" w:history="1">
            <w:r w:rsidR="00BD3F4B" w:rsidRPr="0086725C">
              <w:rPr>
                <w:rStyle w:val="Hyperlink"/>
                <w:noProof/>
              </w:rPr>
              <w:t>Brisbane City Plan 2014</w:t>
            </w:r>
            <w:r w:rsidR="00BD3F4B">
              <w:rPr>
                <w:noProof/>
                <w:webHidden/>
              </w:rPr>
              <w:tab/>
            </w:r>
            <w:r w:rsidR="00BD3F4B">
              <w:rPr>
                <w:noProof/>
                <w:webHidden/>
              </w:rPr>
              <w:fldChar w:fldCharType="begin"/>
            </w:r>
            <w:r w:rsidR="00BD3F4B">
              <w:rPr>
                <w:noProof/>
                <w:webHidden/>
              </w:rPr>
              <w:instrText xml:space="preserve"> PAGEREF _Toc117175556 \h </w:instrText>
            </w:r>
            <w:r w:rsidR="00BD3F4B">
              <w:rPr>
                <w:noProof/>
                <w:webHidden/>
              </w:rPr>
            </w:r>
            <w:r w:rsidR="00BD3F4B">
              <w:rPr>
                <w:noProof/>
                <w:webHidden/>
              </w:rPr>
              <w:fldChar w:fldCharType="separate"/>
            </w:r>
            <w:r w:rsidR="00BD3F4B">
              <w:rPr>
                <w:noProof/>
                <w:webHidden/>
              </w:rPr>
              <w:t>0</w:t>
            </w:r>
            <w:r w:rsidR="00BD3F4B">
              <w:rPr>
                <w:noProof/>
                <w:webHidden/>
              </w:rPr>
              <w:fldChar w:fldCharType="end"/>
            </w:r>
          </w:hyperlink>
        </w:p>
        <w:p w14:paraId="67C53CA6" w14:textId="24D47F1D" w:rsidR="00BD3F4B" w:rsidRDefault="00BD3F4B">
          <w:pPr>
            <w:pStyle w:val="TOC3"/>
            <w:tabs>
              <w:tab w:val="right" w:leader="dot" w:pos="13948"/>
            </w:tabs>
            <w:rPr>
              <w:rFonts w:asciiTheme="minorHAnsi" w:eastAsiaTheme="minorEastAsia" w:hAnsiTheme="minorHAnsi" w:cstheme="minorBidi"/>
              <w:noProof/>
              <w:sz w:val="22"/>
              <w:szCs w:val="22"/>
              <w:lang w:val="en-AU"/>
            </w:rPr>
          </w:pPr>
          <w:hyperlink w:anchor="_Toc117175557" w:history="1">
            <w:r w:rsidRPr="0086725C">
              <w:rPr>
                <w:rStyle w:val="Hyperlink"/>
                <w:noProof/>
              </w:rPr>
              <w:t>Major amendment package K</w:t>
            </w:r>
            <w:r>
              <w:rPr>
                <w:noProof/>
                <w:webHidden/>
              </w:rPr>
              <w:tab/>
            </w:r>
            <w:r>
              <w:rPr>
                <w:noProof/>
                <w:webHidden/>
              </w:rPr>
              <w:fldChar w:fldCharType="begin"/>
            </w:r>
            <w:r>
              <w:rPr>
                <w:noProof/>
                <w:webHidden/>
              </w:rPr>
              <w:instrText xml:space="preserve"> PAGEREF _Toc117175557 \h </w:instrText>
            </w:r>
            <w:r>
              <w:rPr>
                <w:noProof/>
                <w:webHidden/>
              </w:rPr>
            </w:r>
            <w:r>
              <w:rPr>
                <w:noProof/>
                <w:webHidden/>
              </w:rPr>
              <w:fldChar w:fldCharType="separate"/>
            </w:r>
            <w:r>
              <w:rPr>
                <w:noProof/>
                <w:webHidden/>
              </w:rPr>
              <w:t>0</w:t>
            </w:r>
            <w:r>
              <w:rPr>
                <w:noProof/>
                <w:webHidden/>
              </w:rPr>
              <w:fldChar w:fldCharType="end"/>
            </w:r>
          </w:hyperlink>
        </w:p>
        <w:p w14:paraId="14B4A192" w14:textId="0BABC9B8" w:rsidR="00BD3F4B" w:rsidRDefault="00BD3F4B">
          <w:pPr>
            <w:pStyle w:val="TOC2"/>
            <w:tabs>
              <w:tab w:val="left" w:pos="660"/>
              <w:tab w:val="right" w:leader="dot" w:pos="13948"/>
            </w:tabs>
            <w:rPr>
              <w:rFonts w:asciiTheme="minorHAnsi" w:eastAsiaTheme="minorEastAsia" w:hAnsiTheme="minorHAnsi" w:cstheme="minorBidi"/>
              <w:noProof/>
              <w:sz w:val="22"/>
              <w:szCs w:val="22"/>
              <w:lang w:val="en-AU"/>
            </w:rPr>
          </w:pPr>
          <w:hyperlink w:anchor="_Toc117175558" w:history="1">
            <w:r w:rsidRPr="0086725C">
              <w:rPr>
                <w:rStyle w:val="Hyperlink"/>
                <w:noProof/>
              </w:rPr>
              <w:t xml:space="preserve">i. </w:t>
            </w:r>
            <w:r>
              <w:rPr>
                <w:rFonts w:asciiTheme="minorHAnsi" w:eastAsiaTheme="minorEastAsia" w:hAnsiTheme="minorHAnsi" w:cstheme="minorBidi"/>
                <w:noProof/>
                <w:sz w:val="22"/>
                <w:szCs w:val="22"/>
                <w:lang w:val="en-AU"/>
              </w:rPr>
              <w:tab/>
            </w:r>
            <w:r w:rsidRPr="0086725C">
              <w:rPr>
                <w:rStyle w:val="Hyperlink"/>
                <w:noProof/>
              </w:rPr>
              <w:t>Glossary</w:t>
            </w:r>
            <w:r>
              <w:rPr>
                <w:noProof/>
                <w:webHidden/>
              </w:rPr>
              <w:tab/>
            </w:r>
            <w:r>
              <w:rPr>
                <w:noProof/>
                <w:webHidden/>
              </w:rPr>
              <w:fldChar w:fldCharType="begin"/>
            </w:r>
            <w:r>
              <w:rPr>
                <w:noProof/>
                <w:webHidden/>
              </w:rPr>
              <w:instrText xml:space="preserve"> PAGEREF _Toc117175558 \h </w:instrText>
            </w:r>
            <w:r>
              <w:rPr>
                <w:noProof/>
                <w:webHidden/>
              </w:rPr>
            </w:r>
            <w:r>
              <w:rPr>
                <w:noProof/>
                <w:webHidden/>
              </w:rPr>
              <w:fldChar w:fldCharType="separate"/>
            </w:r>
            <w:r>
              <w:rPr>
                <w:noProof/>
                <w:webHidden/>
              </w:rPr>
              <w:t>1</w:t>
            </w:r>
            <w:r>
              <w:rPr>
                <w:noProof/>
                <w:webHidden/>
              </w:rPr>
              <w:fldChar w:fldCharType="end"/>
            </w:r>
          </w:hyperlink>
        </w:p>
        <w:p w14:paraId="70A71BC7" w14:textId="34812578" w:rsidR="00BD3F4B" w:rsidRDefault="00BD3F4B">
          <w:pPr>
            <w:pStyle w:val="TOC2"/>
            <w:tabs>
              <w:tab w:val="left" w:pos="880"/>
              <w:tab w:val="right" w:leader="dot" w:pos="13948"/>
            </w:tabs>
            <w:rPr>
              <w:rFonts w:asciiTheme="minorHAnsi" w:eastAsiaTheme="minorEastAsia" w:hAnsiTheme="minorHAnsi" w:cstheme="minorBidi"/>
              <w:noProof/>
              <w:sz w:val="22"/>
              <w:szCs w:val="22"/>
              <w:lang w:val="en-AU"/>
            </w:rPr>
          </w:pPr>
          <w:hyperlink w:anchor="_Toc117175559" w:history="1">
            <w:r w:rsidRPr="0086725C">
              <w:rPr>
                <w:rStyle w:val="Hyperlink"/>
                <w:noProof/>
              </w:rPr>
              <w:t>1.0</w:t>
            </w:r>
            <w:r>
              <w:rPr>
                <w:rFonts w:asciiTheme="minorHAnsi" w:eastAsiaTheme="minorEastAsia" w:hAnsiTheme="minorHAnsi" w:cstheme="minorBidi"/>
                <w:noProof/>
                <w:sz w:val="22"/>
                <w:szCs w:val="22"/>
                <w:lang w:val="en-AU"/>
              </w:rPr>
              <w:tab/>
            </w:r>
            <w:r w:rsidRPr="0086725C">
              <w:rPr>
                <w:rStyle w:val="Hyperlink"/>
                <w:noProof/>
              </w:rPr>
              <w:t>Introduction</w:t>
            </w:r>
            <w:r>
              <w:rPr>
                <w:noProof/>
                <w:webHidden/>
              </w:rPr>
              <w:tab/>
            </w:r>
            <w:r>
              <w:rPr>
                <w:noProof/>
                <w:webHidden/>
              </w:rPr>
              <w:fldChar w:fldCharType="begin"/>
            </w:r>
            <w:r>
              <w:rPr>
                <w:noProof/>
                <w:webHidden/>
              </w:rPr>
              <w:instrText xml:space="preserve"> PAGEREF _Toc117175559 \h </w:instrText>
            </w:r>
            <w:r>
              <w:rPr>
                <w:noProof/>
                <w:webHidden/>
              </w:rPr>
            </w:r>
            <w:r>
              <w:rPr>
                <w:noProof/>
                <w:webHidden/>
              </w:rPr>
              <w:fldChar w:fldCharType="separate"/>
            </w:r>
            <w:r>
              <w:rPr>
                <w:noProof/>
                <w:webHidden/>
              </w:rPr>
              <w:t>2</w:t>
            </w:r>
            <w:r>
              <w:rPr>
                <w:noProof/>
                <w:webHidden/>
              </w:rPr>
              <w:fldChar w:fldCharType="end"/>
            </w:r>
          </w:hyperlink>
        </w:p>
        <w:p w14:paraId="55E194E8" w14:textId="191C4FB1" w:rsidR="00BD3F4B" w:rsidRDefault="00BD3F4B">
          <w:pPr>
            <w:pStyle w:val="TOC2"/>
            <w:tabs>
              <w:tab w:val="left" w:pos="880"/>
              <w:tab w:val="right" w:leader="dot" w:pos="13948"/>
            </w:tabs>
            <w:rPr>
              <w:rFonts w:asciiTheme="minorHAnsi" w:eastAsiaTheme="minorEastAsia" w:hAnsiTheme="minorHAnsi" w:cstheme="minorBidi"/>
              <w:noProof/>
              <w:sz w:val="22"/>
              <w:szCs w:val="22"/>
              <w:lang w:val="en-AU"/>
            </w:rPr>
          </w:pPr>
          <w:hyperlink w:anchor="_Toc117175560" w:history="1">
            <w:r w:rsidRPr="0086725C">
              <w:rPr>
                <w:rStyle w:val="Hyperlink"/>
                <w:noProof/>
              </w:rPr>
              <w:t>2.0</w:t>
            </w:r>
            <w:r>
              <w:rPr>
                <w:rFonts w:asciiTheme="minorHAnsi" w:eastAsiaTheme="minorEastAsia" w:hAnsiTheme="minorHAnsi" w:cstheme="minorBidi"/>
                <w:noProof/>
                <w:sz w:val="22"/>
                <w:szCs w:val="22"/>
                <w:lang w:val="en-AU"/>
              </w:rPr>
              <w:tab/>
            </w:r>
            <w:r w:rsidRPr="0086725C">
              <w:rPr>
                <w:rStyle w:val="Hyperlink"/>
                <w:noProof/>
              </w:rPr>
              <w:t>Engagement activities</w:t>
            </w:r>
            <w:r>
              <w:rPr>
                <w:noProof/>
                <w:webHidden/>
              </w:rPr>
              <w:tab/>
            </w:r>
            <w:r>
              <w:rPr>
                <w:noProof/>
                <w:webHidden/>
              </w:rPr>
              <w:fldChar w:fldCharType="begin"/>
            </w:r>
            <w:r>
              <w:rPr>
                <w:noProof/>
                <w:webHidden/>
              </w:rPr>
              <w:instrText xml:space="preserve"> PAGEREF _Toc117175560 \h </w:instrText>
            </w:r>
            <w:r>
              <w:rPr>
                <w:noProof/>
                <w:webHidden/>
              </w:rPr>
            </w:r>
            <w:r>
              <w:rPr>
                <w:noProof/>
                <w:webHidden/>
              </w:rPr>
              <w:fldChar w:fldCharType="separate"/>
            </w:r>
            <w:r>
              <w:rPr>
                <w:noProof/>
                <w:webHidden/>
              </w:rPr>
              <w:t>2</w:t>
            </w:r>
            <w:r>
              <w:rPr>
                <w:noProof/>
                <w:webHidden/>
              </w:rPr>
              <w:fldChar w:fldCharType="end"/>
            </w:r>
          </w:hyperlink>
        </w:p>
        <w:p w14:paraId="4A1A6C9C" w14:textId="486B4122" w:rsidR="00BD3F4B" w:rsidRDefault="00BD3F4B">
          <w:pPr>
            <w:pStyle w:val="TOC2"/>
            <w:tabs>
              <w:tab w:val="left" w:pos="880"/>
              <w:tab w:val="right" w:leader="dot" w:pos="13948"/>
            </w:tabs>
            <w:rPr>
              <w:rFonts w:asciiTheme="minorHAnsi" w:eastAsiaTheme="minorEastAsia" w:hAnsiTheme="minorHAnsi" w:cstheme="minorBidi"/>
              <w:noProof/>
              <w:sz w:val="22"/>
              <w:szCs w:val="22"/>
              <w:lang w:val="en-AU"/>
            </w:rPr>
          </w:pPr>
          <w:hyperlink w:anchor="_Toc117175561" w:history="1">
            <w:r w:rsidRPr="0086725C">
              <w:rPr>
                <w:rStyle w:val="Hyperlink"/>
                <w:noProof/>
              </w:rPr>
              <w:t>3.0</w:t>
            </w:r>
            <w:r>
              <w:rPr>
                <w:rFonts w:asciiTheme="minorHAnsi" w:eastAsiaTheme="minorEastAsia" w:hAnsiTheme="minorHAnsi" w:cstheme="minorBidi"/>
                <w:noProof/>
                <w:sz w:val="22"/>
                <w:szCs w:val="22"/>
                <w:lang w:val="en-AU"/>
              </w:rPr>
              <w:tab/>
            </w:r>
            <w:r w:rsidRPr="0086725C">
              <w:rPr>
                <w:rStyle w:val="Hyperlink"/>
                <w:noProof/>
              </w:rPr>
              <w:t>Submissions by topic</w:t>
            </w:r>
            <w:r>
              <w:rPr>
                <w:noProof/>
                <w:webHidden/>
              </w:rPr>
              <w:tab/>
            </w:r>
            <w:r>
              <w:rPr>
                <w:noProof/>
                <w:webHidden/>
              </w:rPr>
              <w:fldChar w:fldCharType="begin"/>
            </w:r>
            <w:r>
              <w:rPr>
                <w:noProof/>
                <w:webHidden/>
              </w:rPr>
              <w:instrText xml:space="preserve"> PAGEREF _Toc117175561 \h </w:instrText>
            </w:r>
            <w:r>
              <w:rPr>
                <w:noProof/>
                <w:webHidden/>
              </w:rPr>
            </w:r>
            <w:r>
              <w:rPr>
                <w:noProof/>
                <w:webHidden/>
              </w:rPr>
              <w:fldChar w:fldCharType="separate"/>
            </w:r>
            <w:r>
              <w:rPr>
                <w:noProof/>
                <w:webHidden/>
              </w:rPr>
              <w:t>3</w:t>
            </w:r>
            <w:r>
              <w:rPr>
                <w:noProof/>
                <w:webHidden/>
              </w:rPr>
              <w:fldChar w:fldCharType="end"/>
            </w:r>
          </w:hyperlink>
        </w:p>
        <w:p w14:paraId="72C57ED3" w14:textId="4CBEFC69" w:rsidR="00BD3F4B" w:rsidRDefault="00BD3F4B">
          <w:pPr>
            <w:pStyle w:val="TOC3"/>
            <w:tabs>
              <w:tab w:val="left" w:pos="1100"/>
              <w:tab w:val="right" w:leader="dot" w:pos="13948"/>
            </w:tabs>
            <w:rPr>
              <w:rFonts w:asciiTheme="minorHAnsi" w:eastAsiaTheme="minorEastAsia" w:hAnsiTheme="minorHAnsi" w:cstheme="minorBidi"/>
              <w:noProof/>
              <w:sz w:val="22"/>
              <w:szCs w:val="22"/>
              <w:lang w:val="en-AU"/>
            </w:rPr>
          </w:pPr>
          <w:hyperlink w:anchor="_Toc117175562" w:history="1">
            <w:r w:rsidRPr="0086725C">
              <w:rPr>
                <w:rStyle w:val="Hyperlink"/>
                <w:rFonts w:cs="Arial"/>
                <w:noProof/>
                <w:lang w:val="en-AU"/>
              </w:rPr>
              <w:t>3.1</w:t>
            </w:r>
            <w:r>
              <w:rPr>
                <w:rFonts w:asciiTheme="minorHAnsi" w:eastAsiaTheme="minorEastAsia" w:hAnsiTheme="minorHAnsi" w:cstheme="minorBidi"/>
                <w:noProof/>
                <w:sz w:val="22"/>
                <w:szCs w:val="22"/>
                <w:lang w:val="en-AU"/>
              </w:rPr>
              <w:tab/>
            </w:r>
            <w:r w:rsidRPr="0086725C">
              <w:rPr>
                <w:rStyle w:val="Hyperlink"/>
                <w:rFonts w:cs="Arial"/>
                <w:noProof/>
                <w:lang w:val="en-AU"/>
              </w:rPr>
              <w:t>Zone changes</w:t>
            </w:r>
            <w:r>
              <w:rPr>
                <w:noProof/>
                <w:webHidden/>
              </w:rPr>
              <w:tab/>
            </w:r>
            <w:r>
              <w:rPr>
                <w:noProof/>
                <w:webHidden/>
              </w:rPr>
              <w:fldChar w:fldCharType="begin"/>
            </w:r>
            <w:r>
              <w:rPr>
                <w:noProof/>
                <w:webHidden/>
              </w:rPr>
              <w:instrText xml:space="preserve"> PAGEREF _Toc117175562 \h </w:instrText>
            </w:r>
            <w:r>
              <w:rPr>
                <w:noProof/>
                <w:webHidden/>
              </w:rPr>
            </w:r>
            <w:r>
              <w:rPr>
                <w:noProof/>
                <w:webHidden/>
              </w:rPr>
              <w:fldChar w:fldCharType="separate"/>
            </w:r>
            <w:r>
              <w:rPr>
                <w:noProof/>
                <w:webHidden/>
              </w:rPr>
              <w:t>3</w:t>
            </w:r>
            <w:r>
              <w:rPr>
                <w:noProof/>
                <w:webHidden/>
              </w:rPr>
              <w:fldChar w:fldCharType="end"/>
            </w:r>
          </w:hyperlink>
        </w:p>
        <w:p w14:paraId="1D9F62E9" w14:textId="25E53178" w:rsidR="00BD3F4B" w:rsidRDefault="00BD3F4B">
          <w:pPr>
            <w:pStyle w:val="TOC3"/>
            <w:tabs>
              <w:tab w:val="left" w:pos="1100"/>
              <w:tab w:val="right" w:leader="dot" w:pos="13948"/>
            </w:tabs>
            <w:rPr>
              <w:rFonts w:asciiTheme="minorHAnsi" w:eastAsiaTheme="minorEastAsia" w:hAnsiTheme="minorHAnsi" w:cstheme="minorBidi"/>
              <w:noProof/>
              <w:sz w:val="22"/>
              <w:szCs w:val="22"/>
              <w:lang w:val="en-AU"/>
            </w:rPr>
          </w:pPr>
          <w:hyperlink w:anchor="_Toc117175563" w:history="1">
            <w:r w:rsidRPr="0086725C">
              <w:rPr>
                <w:rStyle w:val="Hyperlink"/>
                <w:rFonts w:cs="Arial"/>
                <w:noProof/>
                <w:lang w:val="en-AU"/>
              </w:rPr>
              <w:t>3.2</w:t>
            </w:r>
            <w:r>
              <w:rPr>
                <w:rFonts w:asciiTheme="minorHAnsi" w:eastAsiaTheme="minorEastAsia" w:hAnsiTheme="minorHAnsi" w:cstheme="minorBidi"/>
                <w:noProof/>
                <w:sz w:val="22"/>
                <w:szCs w:val="22"/>
                <w:lang w:val="en-AU"/>
              </w:rPr>
              <w:tab/>
            </w:r>
            <w:r w:rsidRPr="0086725C">
              <w:rPr>
                <w:rStyle w:val="Hyperlink"/>
                <w:rFonts w:cs="Arial"/>
                <w:noProof/>
                <w:lang w:val="en-AU"/>
              </w:rPr>
              <w:t>Overlay changes</w:t>
            </w:r>
            <w:r>
              <w:rPr>
                <w:noProof/>
                <w:webHidden/>
              </w:rPr>
              <w:tab/>
            </w:r>
            <w:r>
              <w:rPr>
                <w:noProof/>
                <w:webHidden/>
              </w:rPr>
              <w:fldChar w:fldCharType="begin"/>
            </w:r>
            <w:r>
              <w:rPr>
                <w:noProof/>
                <w:webHidden/>
              </w:rPr>
              <w:instrText xml:space="preserve"> PAGEREF _Toc117175563 \h </w:instrText>
            </w:r>
            <w:r>
              <w:rPr>
                <w:noProof/>
                <w:webHidden/>
              </w:rPr>
            </w:r>
            <w:r>
              <w:rPr>
                <w:noProof/>
                <w:webHidden/>
              </w:rPr>
              <w:fldChar w:fldCharType="separate"/>
            </w:r>
            <w:r>
              <w:rPr>
                <w:noProof/>
                <w:webHidden/>
              </w:rPr>
              <w:t>9</w:t>
            </w:r>
            <w:r>
              <w:rPr>
                <w:noProof/>
                <w:webHidden/>
              </w:rPr>
              <w:fldChar w:fldCharType="end"/>
            </w:r>
          </w:hyperlink>
        </w:p>
        <w:p w14:paraId="06A23AAC" w14:textId="607AF80B" w:rsidR="00BD3F4B" w:rsidRDefault="00BD3F4B">
          <w:pPr>
            <w:pStyle w:val="TOC3"/>
            <w:tabs>
              <w:tab w:val="left" w:pos="1100"/>
              <w:tab w:val="right" w:leader="dot" w:pos="13948"/>
            </w:tabs>
            <w:rPr>
              <w:rFonts w:asciiTheme="minorHAnsi" w:eastAsiaTheme="minorEastAsia" w:hAnsiTheme="minorHAnsi" w:cstheme="minorBidi"/>
              <w:noProof/>
              <w:sz w:val="22"/>
              <w:szCs w:val="22"/>
              <w:lang w:val="en-AU"/>
            </w:rPr>
          </w:pPr>
          <w:hyperlink w:anchor="_Toc117175564" w:history="1">
            <w:r w:rsidRPr="0086725C">
              <w:rPr>
                <w:rStyle w:val="Hyperlink"/>
                <w:noProof/>
                <w:lang w:val="en-AU"/>
              </w:rPr>
              <w:t>3.3</w:t>
            </w:r>
            <w:r>
              <w:rPr>
                <w:rFonts w:asciiTheme="minorHAnsi" w:eastAsiaTheme="minorEastAsia" w:hAnsiTheme="minorHAnsi" w:cstheme="minorBidi"/>
                <w:noProof/>
                <w:sz w:val="22"/>
                <w:szCs w:val="22"/>
                <w:lang w:val="en-AU"/>
              </w:rPr>
              <w:tab/>
            </w:r>
            <w:r w:rsidRPr="0086725C">
              <w:rPr>
                <w:rStyle w:val="Hyperlink"/>
                <w:noProof/>
                <w:lang w:val="en-AU"/>
              </w:rPr>
              <w:t>Industry changes</w:t>
            </w:r>
            <w:r>
              <w:rPr>
                <w:noProof/>
                <w:webHidden/>
              </w:rPr>
              <w:tab/>
            </w:r>
            <w:r>
              <w:rPr>
                <w:noProof/>
                <w:webHidden/>
              </w:rPr>
              <w:fldChar w:fldCharType="begin"/>
            </w:r>
            <w:r>
              <w:rPr>
                <w:noProof/>
                <w:webHidden/>
              </w:rPr>
              <w:instrText xml:space="preserve"> PAGEREF _Toc117175564 \h </w:instrText>
            </w:r>
            <w:r>
              <w:rPr>
                <w:noProof/>
                <w:webHidden/>
              </w:rPr>
            </w:r>
            <w:r>
              <w:rPr>
                <w:noProof/>
                <w:webHidden/>
              </w:rPr>
              <w:fldChar w:fldCharType="separate"/>
            </w:r>
            <w:r>
              <w:rPr>
                <w:noProof/>
                <w:webHidden/>
              </w:rPr>
              <w:t>12</w:t>
            </w:r>
            <w:r>
              <w:rPr>
                <w:noProof/>
                <w:webHidden/>
              </w:rPr>
              <w:fldChar w:fldCharType="end"/>
            </w:r>
          </w:hyperlink>
        </w:p>
        <w:p w14:paraId="18B18A8A" w14:textId="589B270E" w:rsidR="00BD3F4B" w:rsidRDefault="00BD3F4B">
          <w:pPr>
            <w:pStyle w:val="TOC3"/>
            <w:tabs>
              <w:tab w:val="left" w:pos="1100"/>
              <w:tab w:val="right" w:leader="dot" w:pos="13948"/>
            </w:tabs>
            <w:rPr>
              <w:rFonts w:asciiTheme="minorHAnsi" w:eastAsiaTheme="minorEastAsia" w:hAnsiTheme="minorHAnsi" w:cstheme="minorBidi"/>
              <w:noProof/>
              <w:sz w:val="22"/>
              <w:szCs w:val="22"/>
              <w:lang w:val="en-AU"/>
            </w:rPr>
          </w:pPr>
          <w:hyperlink w:anchor="_Toc117175565" w:history="1">
            <w:r w:rsidRPr="0086725C">
              <w:rPr>
                <w:rStyle w:val="Hyperlink"/>
                <w:noProof/>
              </w:rPr>
              <w:t>3.4</w:t>
            </w:r>
            <w:r>
              <w:rPr>
                <w:rFonts w:asciiTheme="minorHAnsi" w:eastAsiaTheme="minorEastAsia" w:hAnsiTheme="minorHAnsi" w:cstheme="minorBidi"/>
                <w:noProof/>
                <w:sz w:val="22"/>
                <w:szCs w:val="22"/>
                <w:lang w:val="en-AU"/>
              </w:rPr>
              <w:tab/>
            </w:r>
            <w:r w:rsidRPr="0086725C">
              <w:rPr>
                <w:rStyle w:val="Hyperlink"/>
                <w:noProof/>
              </w:rPr>
              <w:t>Park changes</w:t>
            </w:r>
            <w:r>
              <w:rPr>
                <w:noProof/>
                <w:webHidden/>
              </w:rPr>
              <w:tab/>
            </w:r>
            <w:r>
              <w:rPr>
                <w:noProof/>
                <w:webHidden/>
              </w:rPr>
              <w:fldChar w:fldCharType="begin"/>
            </w:r>
            <w:r>
              <w:rPr>
                <w:noProof/>
                <w:webHidden/>
              </w:rPr>
              <w:instrText xml:space="preserve"> PAGEREF _Toc117175565 \h </w:instrText>
            </w:r>
            <w:r>
              <w:rPr>
                <w:noProof/>
                <w:webHidden/>
              </w:rPr>
            </w:r>
            <w:r>
              <w:rPr>
                <w:noProof/>
                <w:webHidden/>
              </w:rPr>
              <w:fldChar w:fldCharType="separate"/>
            </w:r>
            <w:r>
              <w:rPr>
                <w:noProof/>
                <w:webHidden/>
              </w:rPr>
              <w:t>24</w:t>
            </w:r>
            <w:r>
              <w:rPr>
                <w:noProof/>
                <w:webHidden/>
              </w:rPr>
              <w:fldChar w:fldCharType="end"/>
            </w:r>
          </w:hyperlink>
        </w:p>
        <w:p w14:paraId="6E1C907E" w14:textId="7934A287" w:rsidR="00BD3F4B" w:rsidRDefault="00BD3F4B">
          <w:pPr>
            <w:pStyle w:val="TOC3"/>
            <w:tabs>
              <w:tab w:val="left" w:pos="1100"/>
              <w:tab w:val="right" w:leader="dot" w:pos="13948"/>
            </w:tabs>
            <w:rPr>
              <w:rFonts w:asciiTheme="minorHAnsi" w:eastAsiaTheme="minorEastAsia" w:hAnsiTheme="minorHAnsi" w:cstheme="minorBidi"/>
              <w:noProof/>
              <w:sz w:val="22"/>
              <w:szCs w:val="22"/>
              <w:lang w:val="en-AU"/>
            </w:rPr>
          </w:pPr>
          <w:hyperlink w:anchor="_Toc117175566" w:history="1">
            <w:r w:rsidRPr="0086725C">
              <w:rPr>
                <w:rStyle w:val="Hyperlink"/>
                <w:noProof/>
              </w:rPr>
              <w:t>3.5</w:t>
            </w:r>
            <w:r>
              <w:rPr>
                <w:rFonts w:asciiTheme="minorHAnsi" w:eastAsiaTheme="minorEastAsia" w:hAnsiTheme="minorHAnsi" w:cstheme="minorBidi"/>
                <w:noProof/>
                <w:sz w:val="22"/>
                <w:szCs w:val="22"/>
                <w:lang w:val="en-AU"/>
              </w:rPr>
              <w:tab/>
            </w:r>
            <w:r w:rsidRPr="0086725C">
              <w:rPr>
                <w:rStyle w:val="Hyperlink"/>
                <w:noProof/>
              </w:rPr>
              <w:t>Heritage changes</w:t>
            </w:r>
            <w:r>
              <w:rPr>
                <w:noProof/>
                <w:webHidden/>
              </w:rPr>
              <w:tab/>
            </w:r>
            <w:r>
              <w:rPr>
                <w:noProof/>
                <w:webHidden/>
              </w:rPr>
              <w:fldChar w:fldCharType="begin"/>
            </w:r>
            <w:r>
              <w:rPr>
                <w:noProof/>
                <w:webHidden/>
              </w:rPr>
              <w:instrText xml:space="preserve"> PAGEREF _Toc117175566 \h </w:instrText>
            </w:r>
            <w:r>
              <w:rPr>
                <w:noProof/>
                <w:webHidden/>
              </w:rPr>
            </w:r>
            <w:r>
              <w:rPr>
                <w:noProof/>
                <w:webHidden/>
              </w:rPr>
              <w:fldChar w:fldCharType="separate"/>
            </w:r>
            <w:r>
              <w:rPr>
                <w:noProof/>
                <w:webHidden/>
              </w:rPr>
              <w:t>25</w:t>
            </w:r>
            <w:r>
              <w:rPr>
                <w:noProof/>
                <w:webHidden/>
              </w:rPr>
              <w:fldChar w:fldCharType="end"/>
            </w:r>
          </w:hyperlink>
        </w:p>
        <w:p w14:paraId="58E03319" w14:textId="782BEDD5" w:rsidR="00BD3F4B" w:rsidRDefault="00BD3F4B">
          <w:pPr>
            <w:pStyle w:val="TOC3"/>
            <w:tabs>
              <w:tab w:val="left" w:pos="1100"/>
              <w:tab w:val="right" w:leader="dot" w:pos="13948"/>
            </w:tabs>
            <w:rPr>
              <w:rFonts w:asciiTheme="minorHAnsi" w:eastAsiaTheme="minorEastAsia" w:hAnsiTheme="minorHAnsi" w:cstheme="minorBidi"/>
              <w:noProof/>
              <w:sz w:val="22"/>
              <w:szCs w:val="22"/>
              <w:lang w:val="en-AU"/>
            </w:rPr>
          </w:pPr>
          <w:hyperlink w:anchor="_Toc117175567" w:history="1">
            <w:r w:rsidRPr="0086725C">
              <w:rPr>
                <w:rStyle w:val="Hyperlink"/>
                <w:noProof/>
              </w:rPr>
              <w:t>3.6</w:t>
            </w:r>
            <w:r>
              <w:rPr>
                <w:rFonts w:asciiTheme="minorHAnsi" w:eastAsiaTheme="minorEastAsia" w:hAnsiTheme="minorHAnsi" w:cstheme="minorBidi"/>
                <w:noProof/>
                <w:sz w:val="22"/>
                <w:szCs w:val="22"/>
                <w:lang w:val="en-AU"/>
              </w:rPr>
              <w:tab/>
            </w:r>
            <w:r w:rsidRPr="0086725C">
              <w:rPr>
                <w:rStyle w:val="Hyperlink"/>
                <w:noProof/>
              </w:rPr>
              <w:t>Out of scope</w:t>
            </w:r>
            <w:r>
              <w:rPr>
                <w:noProof/>
                <w:webHidden/>
              </w:rPr>
              <w:tab/>
            </w:r>
            <w:r>
              <w:rPr>
                <w:noProof/>
                <w:webHidden/>
              </w:rPr>
              <w:fldChar w:fldCharType="begin"/>
            </w:r>
            <w:r>
              <w:rPr>
                <w:noProof/>
                <w:webHidden/>
              </w:rPr>
              <w:instrText xml:space="preserve"> PAGEREF _Toc117175567 \h </w:instrText>
            </w:r>
            <w:r>
              <w:rPr>
                <w:noProof/>
                <w:webHidden/>
              </w:rPr>
            </w:r>
            <w:r>
              <w:rPr>
                <w:noProof/>
                <w:webHidden/>
              </w:rPr>
              <w:fldChar w:fldCharType="separate"/>
            </w:r>
            <w:r>
              <w:rPr>
                <w:noProof/>
                <w:webHidden/>
              </w:rPr>
              <w:t>26</w:t>
            </w:r>
            <w:r>
              <w:rPr>
                <w:noProof/>
                <w:webHidden/>
              </w:rPr>
              <w:fldChar w:fldCharType="end"/>
            </w:r>
          </w:hyperlink>
        </w:p>
        <w:p w14:paraId="2C1533B4" w14:textId="08073B5B" w:rsidR="00BD3F4B" w:rsidRDefault="00BD3F4B">
          <w:pPr>
            <w:pStyle w:val="TOC2"/>
            <w:tabs>
              <w:tab w:val="left" w:pos="880"/>
              <w:tab w:val="right" w:leader="dot" w:pos="13948"/>
            </w:tabs>
            <w:rPr>
              <w:rFonts w:asciiTheme="minorHAnsi" w:eastAsiaTheme="minorEastAsia" w:hAnsiTheme="minorHAnsi" w:cstheme="minorBidi"/>
              <w:noProof/>
              <w:sz w:val="22"/>
              <w:szCs w:val="22"/>
              <w:lang w:val="en-AU"/>
            </w:rPr>
          </w:pPr>
          <w:hyperlink w:anchor="_Toc117175568" w:history="1">
            <w:r w:rsidRPr="0086725C">
              <w:rPr>
                <w:rStyle w:val="Hyperlink"/>
                <w:noProof/>
              </w:rPr>
              <w:t>4.0</w:t>
            </w:r>
            <w:r>
              <w:rPr>
                <w:rFonts w:asciiTheme="minorHAnsi" w:eastAsiaTheme="minorEastAsia" w:hAnsiTheme="minorHAnsi" w:cstheme="minorBidi"/>
                <w:noProof/>
                <w:sz w:val="22"/>
                <w:szCs w:val="22"/>
                <w:lang w:val="en-AU"/>
              </w:rPr>
              <w:tab/>
            </w:r>
            <w:r w:rsidRPr="0086725C">
              <w:rPr>
                <w:rStyle w:val="Hyperlink"/>
                <w:noProof/>
              </w:rPr>
              <w:t>Conclusion</w:t>
            </w:r>
            <w:r>
              <w:rPr>
                <w:noProof/>
                <w:webHidden/>
              </w:rPr>
              <w:tab/>
            </w:r>
            <w:r>
              <w:rPr>
                <w:noProof/>
                <w:webHidden/>
              </w:rPr>
              <w:fldChar w:fldCharType="begin"/>
            </w:r>
            <w:r>
              <w:rPr>
                <w:noProof/>
                <w:webHidden/>
              </w:rPr>
              <w:instrText xml:space="preserve"> PAGEREF _Toc117175568 \h </w:instrText>
            </w:r>
            <w:r>
              <w:rPr>
                <w:noProof/>
                <w:webHidden/>
              </w:rPr>
            </w:r>
            <w:r>
              <w:rPr>
                <w:noProof/>
                <w:webHidden/>
              </w:rPr>
              <w:fldChar w:fldCharType="separate"/>
            </w:r>
            <w:r>
              <w:rPr>
                <w:noProof/>
                <w:webHidden/>
              </w:rPr>
              <w:t>29</w:t>
            </w:r>
            <w:r>
              <w:rPr>
                <w:noProof/>
                <w:webHidden/>
              </w:rPr>
              <w:fldChar w:fldCharType="end"/>
            </w:r>
          </w:hyperlink>
        </w:p>
        <w:p w14:paraId="350CB178" w14:textId="446D5044" w:rsidR="00046993" w:rsidRPr="002A53B6" w:rsidRDefault="003160BA" w:rsidP="002D0222">
          <w:pPr>
            <w:spacing w:after="0"/>
            <w:rPr>
              <w:rFonts w:cs="Arial"/>
              <w:lang w:val="en-AU"/>
            </w:rPr>
          </w:pPr>
          <w:r w:rsidRPr="002A53B6">
            <w:rPr>
              <w:rFonts w:cs="Arial"/>
              <w:sz w:val="22"/>
              <w:szCs w:val="22"/>
              <w:lang w:val="en-AU"/>
            </w:rPr>
            <w:fldChar w:fldCharType="end"/>
          </w:r>
        </w:p>
      </w:sdtContent>
    </w:sdt>
    <w:p w14:paraId="430111A6" w14:textId="77777777" w:rsidR="00652105" w:rsidRPr="002A53B6" w:rsidRDefault="00652105" w:rsidP="002D0222">
      <w:pPr>
        <w:pStyle w:val="NoSpacing"/>
        <w:rPr>
          <w:rFonts w:ascii="Arial" w:eastAsia="Times New Roman" w:hAnsi="Arial" w:cs="Arial"/>
          <w:szCs w:val="20"/>
          <w:lang w:val="en-AU" w:eastAsia="en-AU"/>
        </w:rPr>
      </w:pPr>
    </w:p>
    <w:p w14:paraId="1B0EEAF8" w14:textId="77777777" w:rsidR="00C52346" w:rsidRPr="002A53B6" w:rsidRDefault="00C52346" w:rsidP="002D0222">
      <w:pPr>
        <w:pStyle w:val="NoSpacing"/>
        <w:rPr>
          <w:rFonts w:ascii="Arial" w:eastAsia="Times New Roman" w:hAnsi="Arial" w:cs="Arial"/>
          <w:szCs w:val="20"/>
          <w:lang w:val="en-AU" w:eastAsia="en-AU"/>
        </w:rPr>
        <w:sectPr w:rsidR="00C52346" w:rsidRPr="002A53B6" w:rsidSect="003B2DDE">
          <w:pgSz w:w="16838" w:h="11906" w:orient="landscape"/>
          <w:pgMar w:top="1276" w:right="1440" w:bottom="1440" w:left="1440" w:header="708" w:footer="708" w:gutter="0"/>
          <w:pgNumType w:start="0"/>
          <w:cols w:space="708"/>
          <w:titlePg/>
          <w:docGrid w:linePitch="360"/>
        </w:sectPr>
      </w:pPr>
    </w:p>
    <w:p w14:paraId="2658E185" w14:textId="39469D74" w:rsidR="00F63A11" w:rsidRPr="002A53B6" w:rsidRDefault="00E842A4" w:rsidP="002D0222">
      <w:pPr>
        <w:pStyle w:val="Heading2"/>
        <w:spacing w:before="0" w:after="0"/>
        <w:ind w:left="851" w:hanging="851"/>
      </w:pPr>
      <w:bookmarkStart w:id="10" w:name="_Toc117175558"/>
      <w:proofErr w:type="spellStart"/>
      <w:r w:rsidRPr="002A53B6">
        <w:lastRenderedPageBreak/>
        <w:t>i</w:t>
      </w:r>
      <w:proofErr w:type="spellEnd"/>
      <w:r w:rsidRPr="002A53B6">
        <w:t xml:space="preserve">. </w:t>
      </w:r>
      <w:r w:rsidR="005D20DB" w:rsidRPr="002A53B6">
        <w:tab/>
      </w:r>
      <w:r w:rsidR="00F63A11" w:rsidRPr="002A53B6">
        <w:t>Glossary</w:t>
      </w:r>
      <w:bookmarkEnd w:id="10"/>
    </w:p>
    <w:p w14:paraId="3AD07259" w14:textId="77777777" w:rsidR="00F63A11" w:rsidRPr="002A53B6" w:rsidRDefault="00F63A11" w:rsidP="002D0222">
      <w:pPr>
        <w:spacing w:after="0"/>
        <w:rPr>
          <w:rFonts w:cs="Arial"/>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3418"/>
        <w:gridCol w:w="10894"/>
      </w:tblGrid>
      <w:tr w:rsidR="00F63A11" w:rsidRPr="002A53B6" w14:paraId="486C727D" w14:textId="77777777" w:rsidTr="00CB51D5">
        <w:trPr>
          <w:trHeight w:val="219"/>
          <w:tblHeader/>
        </w:trPr>
        <w:tc>
          <w:tcPr>
            <w:tcW w:w="3418" w:type="dxa"/>
            <w:shd w:val="clear" w:color="auto" w:fill="F2F2F2" w:themeFill="background1" w:themeFillShade="F2"/>
            <w:vAlign w:val="center"/>
          </w:tcPr>
          <w:p w14:paraId="69BFA1A9" w14:textId="6BD0B7DE" w:rsidR="00F63A11" w:rsidRPr="002A53B6" w:rsidRDefault="003331B4" w:rsidP="006470FF">
            <w:pPr>
              <w:spacing w:before="60" w:after="60"/>
              <w:rPr>
                <w:rFonts w:cs="Arial"/>
                <w:b/>
                <w:sz w:val="22"/>
                <w:szCs w:val="22"/>
                <w:lang w:val="en-AU"/>
              </w:rPr>
            </w:pPr>
            <w:r>
              <w:rPr>
                <w:rFonts w:cs="Arial"/>
                <w:b/>
                <w:sz w:val="22"/>
                <w:szCs w:val="22"/>
                <w:lang w:val="en-AU"/>
              </w:rPr>
              <w:t>City</w:t>
            </w:r>
          </w:p>
        </w:tc>
        <w:tc>
          <w:tcPr>
            <w:tcW w:w="10894" w:type="dxa"/>
            <w:shd w:val="clear" w:color="auto" w:fill="F2F2F2" w:themeFill="background1" w:themeFillShade="F2"/>
            <w:vAlign w:val="center"/>
          </w:tcPr>
          <w:p w14:paraId="77A9CEB8" w14:textId="3F7F8964" w:rsidR="00EA2426" w:rsidRPr="002A53B6" w:rsidRDefault="00F63A11" w:rsidP="006470FF">
            <w:pPr>
              <w:spacing w:before="60" w:after="60"/>
              <w:rPr>
                <w:rFonts w:cs="Arial"/>
                <w:b/>
                <w:sz w:val="22"/>
                <w:szCs w:val="22"/>
                <w:lang w:val="en-AU"/>
              </w:rPr>
            </w:pPr>
            <w:r w:rsidRPr="002A53B6">
              <w:rPr>
                <w:rFonts w:cs="Arial"/>
                <w:b/>
                <w:sz w:val="22"/>
                <w:szCs w:val="22"/>
                <w:lang w:val="en-AU"/>
              </w:rPr>
              <w:t>Description</w:t>
            </w:r>
          </w:p>
        </w:tc>
      </w:tr>
      <w:tr w:rsidR="00F63A11" w:rsidRPr="002A53B6" w14:paraId="25168C47" w14:textId="77777777" w:rsidTr="00CB51D5">
        <w:trPr>
          <w:trHeight w:val="340"/>
        </w:trPr>
        <w:tc>
          <w:tcPr>
            <w:tcW w:w="3418" w:type="dxa"/>
            <w:shd w:val="clear" w:color="auto" w:fill="auto"/>
            <w:vAlign w:val="center"/>
          </w:tcPr>
          <w:p w14:paraId="0370F2D1" w14:textId="7FDDEB87" w:rsidR="00F63A11" w:rsidRPr="002A53B6" w:rsidRDefault="00510322" w:rsidP="006470FF">
            <w:pPr>
              <w:spacing w:before="60" w:after="60"/>
              <w:rPr>
                <w:rFonts w:cs="Arial"/>
                <w:lang w:val="en-AU"/>
              </w:rPr>
            </w:pPr>
            <w:r w:rsidRPr="002A53B6">
              <w:rPr>
                <w:rFonts w:cs="Arial"/>
                <w:lang w:val="en-AU"/>
              </w:rPr>
              <w:t>City Plan</w:t>
            </w:r>
          </w:p>
        </w:tc>
        <w:tc>
          <w:tcPr>
            <w:tcW w:w="10894" w:type="dxa"/>
            <w:shd w:val="clear" w:color="auto" w:fill="auto"/>
            <w:vAlign w:val="center"/>
          </w:tcPr>
          <w:p w14:paraId="1F1FE164" w14:textId="371F4078" w:rsidR="00F63A11" w:rsidRPr="002A53B6" w:rsidRDefault="00510322" w:rsidP="006470FF">
            <w:pPr>
              <w:spacing w:before="60" w:after="60"/>
              <w:rPr>
                <w:rFonts w:cs="Arial"/>
                <w:i/>
                <w:iCs/>
                <w:lang w:val="en-AU"/>
              </w:rPr>
            </w:pPr>
            <w:r w:rsidRPr="002A53B6">
              <w:rPr>
                <w:rFonts w:cs="Arial"/>
                <w:i/>
                <w:iCs/>
                <w:lang w:val="en-AU"/>
              </w:rPr>
              <w:t>Brisbane City Plan 2014</w:t>
            </w:r>
          </w:p>
        </w:tc>
      </w:tr>
      <w:tr w:rsidR="00A83CBA" w:rsidRPr="002A53B6" w14:paraId="4EF051CB" w14:textId="77777777" w:rsidTr="00CB51D5">
        <w:trPr>
          <w:trHeight w:val="340"/>
        </w:trPr>
        <w:tc>
          <w:tcPr>
            <w:tcW w:w="3418" w:type="dxa"/>
            <w:shd w:val="clear" w:color="auto" w:fill="auto"/>
            <w:vAlign w:val="center"/>
          </w:tcPr>
          <w:p w14:paraId="3E305493" w14:textId="4B753D12" w:rsidR="00A83CBA" w:rsidRPr="002A53B6" w:rsidRDefault="00A83CBA" w:rsidP="006470FF">
            <w:pPr>
              <w:spacing w:before="60" w:after="60"/>
              <w:rPr>
                <w:rFonts w:cs="Arial"/>
                <w:lang w:val="en-AU"/>
              </w:rPr>
            </w:pPr>
            <w:r w:rsidRPr="002A53B6">
              <w:rPr>
                <w:rFonts w:cs="Arial"/>
                <w:lang w:val="en-AU"/>
              </w:rPr>
              <w:t>Council</w:t>
            </w:r>
          </w:p>
        </w:tc>
        <w:tc>
          <w:tcPr>
            <w:tcW w:w="10894" w:type="dxa"/>
            <w:shd w:val="clear" w:color="auto" w:fill="auto"/>
            <w:vAlign w:val="center"/>
          </w:tcPr>
          <w:p w14:paraId="5F295009" w14:textId="6BB4CAA8" w:rsidR="00A83CBA" w:rsidRPr="002A53B6" w:rsidRDefault="00A83CBA" w:rsidP="006470FF">
            <w:pPr>
              <w:spacing w:before="60" w:after="60"/>
              <w:rPr>
                <w:rFonts w:cs="Arial"/>
                <w:iCs/>
                <w:highlight w:val="yellow"/>
                <w:lang w:val="en-AU"/>
              </w:rPr>
            </w:pPr>
            <w:r w:rsidRPr="002A53B6">
              <w:rPr>
                <w:rFonts w:cs="Arial"/>
                <w:iCs/>
                <w:lang w:val="en-AU"/>
              </w:rPr>
              <w:t>Brisbane City Council</w:t>
            </w:r>
          </w:p>
        </w:tc>
      </w:tr>
      <w:tr w:rsidR="008D1A35" w:rsidRPr="002A53B6" w14:paraId="5F6B40D1" w14:textId="77777777" w:rsidTr="00D05174">
        <w:trPr>
          <w:trHeight w:val="340"/>
        </w:trPr>
        <w:tc>
          <w:tcPr>
            <w:tcW w:w="3418" w:type="dxa"/>
            <w:shd w:val="clear" w:color="auto" w:fill="auto"/>
            <w:vAlign w:val="center"/>
          </w:tcPr>
          <w:p w14:paraId="1032A768" w14:textId="77777777" w:rsidR="008D1A35" w:rsidRDefault="008D1A35" w:rsidP="006470FF">
            <w:pPr>
              <w:spacing w:before="60" w:after="60"/>
              <w:rPr>
                <w:rFonts w:cs="Arial"/>
                <w:lang w:val="en-AU"/>
              </w:rPr>
            </w:pPr>
            <w:r>
              <w:rPr>
                <w:rFonts w:cs="Arial"/>
                <w:lang w:val="en-AU"/>
              </w:rPr>
              <w:t>GIC zone precinct</w:t>
            </w:r>
          </w:p>
        </w:tc>
        <w:tc>
          <w:tcPr>
            <w:tcW w:w="10894" w:type="dxa"/>
            <w:shd w:val="clear" w:color="auto" w:fill="auto"/>
            <w:vAlign w:val="center"/>
          </w:tcPr>
          <w:p w14:paraId="024D02A6" w14:textId="77777777" w:rsidR="008D1A35" w:rsidRDefault="008D1A35" w:rsidP="006470FF">
            <w:pPr>
              <w:spacing w:before="60" w:after="60"/>
              <w:rPr>
                <w:rFonts w:cs="Arial"/>
                <w:iCs/>
                <w:lang w:val="en-AU"/>
              </w:rPr>
            </w:pPr>
            <w:r>
              <w:rPr>
                <w:rFonts w:cs="Arial"/>
                <w:iCs/>
                <w:lang w:val="en-AU"/>
              </w:rPr>
              <w:t>Industry (General industry C zone precinct)</w:t>
            </w:r>
          </w:p>
        </w:tc>
      </w:tr>
      <w:tr w:rsidR="000013EC" w:rsidRPr="002A53B6" w14:paraId="180A8ACC" w14:textId="77777777" w:rsidTr="00CB51D5">
        <w:trPr>
          <w:trHeight w:val="340"/>
        </w:trPr>
        <w:tc>
          <w:tcPr>
            <w:tcW w:w="3418" w:type="dxa"/>
            <w:shd w:val="clear" w:color="auto" w:fill="auto"/>
            <w:vAlign w:val="center"/>
          </w:tcPr>
          <w:p w14:paraId="5BD9A8A0" w14:textId="1F07964E" w:rsidR="000013EC" w:rsidRPr="002A53B6" w:rsidRDefault="000013EC" w:rsidP="006470FF">
            <w:pPr>
              <w:spacing w:before="60" w:after="60"/>
              <w:rPr>
                <w:rFonts w:cs="Arial"/>
                <w:lang w:val="en-AU"/>
              </w:rPr>
            </w:pPr>
            <w:r>
              <w:rPr>
                <w:rFonts w:cs="Arial"/>
                <w:lang w:val="en-AU"/>
              </w:rPr>
              <w:t>TLPI</w:t>
            </w:r>
          </w:p>
        </w:tc>
        <w:tc>
          <w:tcPr>
            <w:tcW w:w="10894" w:type="dxa"/>
            <w:shd w:val="clear" w:color="auto" w:fill="auto"/>
            <w:vAlign w:val="center"/>
          </w:tcPr>
          <w:p w14:paraId="4826EACD" w14:textId="41FAAF62" w:rsidR="000013EC" w:rsidRPr="002A53B6" w:rsidRDefault="000013EC" w:rsidP="006470FF">
            <w:pPr>
              <w:spacing w:before="60" w:after="60"/>
              <w:rPr>
                <w:rFonts w:cs="Arial"/>
                <w:iCs/>
                <w:lang w:val="en-AU"/>
              </w:rPr>
            </w:pPr>
            <w:r>
              <w:rPr>
                <w:rFonts w:cs="Arial"/>
                <w:iCs/>
                <w:lang w:val="en-AU"/>
              </w:rPr>
              <w:t xml:space="preserve">Temporary Local Planning Instrument </w:t>
            </w:r>
          </w:p>
        </w:tc>
      </w:tr>
      <w:tr w:rsidR="00A83CBA" w:rsidRPr="002A53B6" w14:paraId="7007D779" w14:textId="77777777" w:rsidTr="00CB51D5">
        <w:trPr>
          <w:trHeight w:val="340"/>
        </w:trPr>
        <w:tc>
          <w:tcPr>
            <w:tcW w:w="3418" w:type="dxa"/>
            <w:shd w:val="clear" w:color="auto" w:fill="auto"/>
            <w:vAlign w:val="center"/>
          </w:tcPr>
          <w:p w14:paraId="0DB6330D" w14:textId="7FEE2703" w:rsidR="00A83CBA" w:rsidRPr="002A53B6" w:rsidRDefault="005B340D" w:rsidP="006470FF">
            <w:pPr>
              <w:spacing w:before="60" w:after="60"/>
              <w:rPr>
                <w:rFonts w:cs="Arial"/>
                <w:lang w:val="en-AU"/>
              </w:rPr>
            </w:pPr>
            <w:r>
              <w:rPr>
                <w:rFonts w:cs="Arial"/>
                <w:lang w:val="en-AU"/>
              </w:rPr>
              <w:t>The p</w:t>
            </w:r>
            <w:r w:rsidR="00A83CBA" w:rsidRPr="002A53B6">
              <w:rPr>
                <w:rFonts w:cs="Arial"/>
                <w:lang w:val="en-AU"/>
              </w:rPr>
              <w:t>roposed amendment</w:t>
            </w:r>
          </w:p>
        </w:tc>
        <w:tc>
          <w:tcPr>
            <w:tcW w:w="10894" w:type="dxa"/>
            <w:shd w:val="clear" w:color="auto" w:fill="auto"/>
            <w:vAlign w:val="center"/>
          </w:tcPr>
          <w:p w14:paraId="21D12868" w14:textId="7455C004" w:rsidR="00A83CBA" w:rsidRPr="002A53B6" w:rsidRDefault="001C22A4" w:rsidP="006470FF">
            <w:pPr>
              <w:spacing w:before="60" w:after="60"/>
              <w:rPr>
                <w:rFonts w:cs="Arial"/>
                <w:iCs/>
                <w:lang w:val="en-AU"/>
              </w:rPr>
            </w:pPr>
            <w:r w:rsidRPr="002A53B6">
              <w:rPr>
                <w:rFonts w:cs="Arial"/>
                <w:iCs/>
                <w:lang w:val="en-AU"/>
              </w:rPr>
              <w:t>Major amendment</w:t>
            </w:r>
            <w:r w:rsidR="00A83CBA" w:rsidRPr="002A53B6">
              <w:rPr>
                <w:rFonts w:cs="Arial"/>
                <w:iCs/>
                <w:lang w:val="en-AU"/>
              </w:rPr>
              <w:t xml:space="preserve"> package </w:t>
            </w:r>
            <w:r w:rsidRPr="002A53B6">
              <w:rPr>
                <w:rFonts w:cs="Arial"/>
                <w:iCs/>
                <w:lang w:val="en-AU"/>
              </w:rPr>
              <w:t>K</w:t>
            </w:r>
            <w:r w:rsidR="003331B4">
              <w:rPr>
                <w:rFonts w:cs="Arial"/>
                <w:iCs/>
                <w:lang w:val="en-AU"/>
              </w:rPr>
              <w:t xml:space="preserve"> or Major K</w:t>
            </w:r>
          </w:p>
        </w:tc>
      </w:tr>
    </w:tbl>
    <w:p w14:paraId="6E8561F7" w14:textId="77777777" w:rsidR="00F63A11" w:rsidRPr="002A53B6" w:rsidRDefault="00F63A11" w:rsidP="002D0222">
      <w:pPr>
        <w:spacing w:after="0"/>
        <w:rPr>
          <w:rFonts w:cs="Arial"/>
          <w:lang w:val="en-AU"/>
        </w:rPr>
      </w:pPr>
    </w:p>
    <w:p w14:paraId="0E0C3E8A" w14:textId="77777777" w:rsidR="00F63A11" w:rsidRPr="002A53B6" w:rsidRDefault="00F63A11" w:rsidP="002D0222">
      <w:pPr>
        <w:pStyle w:val="Heading2"/>
        <w:spacing w:before="0" w:after="0"/>
      </w:pPr>
      <w:r w:rsidRPr="002A53B6">
        <w:br w:type="page"/>
      </w:r>
    </w:p>
    <w:p w14:paraId="06C7E6B7" w14:textId="46C41BAB" w:rsidR="00B2157F" w:rsidRPr="002A53B6" w:rsidRDefault="009E3F7D" w:rsidP="002D0222">
      <w:pPr>
        <w:pStyle w:val="Heading2"/>
        <w:spacing w:before="0" w:after="0"/>
        <w:ind w:left="851" w:hanging="851"/>
      </w:pPr>
      <w:bookmarkStart w:id="11" w:name="_Toc117175559"/>
      <w:r w:rsidRPr="002A53B6">
        <w:lastRenderedPageBreak/>
        <w:t>1.0</w:t>
      </w:r>
      <w:r w:rsidRPr="002A53B6">
        <w:tab/>
      </w:r>
      <w:r w:rsidR="00B2157F" w:rsidRPr="002A53B6">
        <w:t>Introduction</w:t>
      </w:r>
      <w:bookmarkEnd w:id="11"/>
    </w:p>
    <w:p w14:paraId="5D37DB99" w14:textId="77777777" w:rsidR="00475A87" w:rsidRPr="002A53B6" w:rsidRDefault="00475A87" w:rsidP="002D0222">
      <w:pPr>
        <w:spacing w:after="0"/>
        <w:rPr>
          <w:rFonts w:cs="Arial"/>
          <w:lang w:val="en-AU"/>
        </w:rPr>
      </w:pPr>
    </w:p>
    <w:p w14:paraId="3DEA9EE5" w14:textId="48D3C11D" w:rsidR="009E5F5D" w:rsidRPr="002A53B6" w:rsidRDefault="00B2157F" w:rsidP="002D0222">
      <w:pPr>
        <w:spacing w:after="0"/>
        <w:jc w:val="both"/>
        <w:rPr>
          <w:rFonts w:cs="Arial"/>
          <w:lang w:val="en-AU"/>
        </w:rPr>
      </w:pPr>
      <w:r w:rsidRPr="002A53B6">
        <w:rPr>
          <w:rFonts w:cs="Arial"/>
          <w:lang w:val="en-AU"/>
        </w:rPr>
        <w:t xml:space="preserve">Statutory public consultation of the </w:t>
      </w:r>
      <w:r w:rsidR="00C065B6">
        <w:rPr>
          <w:rFonts w:cs="Arial"/>
          <w:lang w:val="en-AU"/>
        </w:rPr>
        <w:t>p</w:t>
      </w:r>
      <w:r w:rsidRPr="00A12CCA">
        <w:rPr>
          <w:rFonts w:cs="Arial"/>
          <w:lang w:val="en-AU"/>
        </w:rPr>
        <w:t xml:space="preserve">roposed </w:t>
      </w:r>
      <w:r w:rsidR="0031043E" w:rsidRPr="00A12CCA">
        <w:rPr>
          <w:rFonts w:cs="Arial"/>
          <w:lang w:val="en-AU"/>
        </w:rPr>
        <w:t>amendment</w:t>
      </w:r>
      <w:r w:rsidR="0031043E" w:rsidRPr="002A53B6">
        <w:rPr>
          <w:rFonts w:cs="Arial"/>
          <w:i/>
          <w:iCs/>
          <w:lang w:val="en-AU"/>
        </w:rPr>
        <w:t xml:space="preserve"> </w:t>
      </w:r>
      <w:r w:rsidR="00C065B6">
        <w:rPr>
          <w:rFonts w:cs="Arial"/>
          <w:lang w:val="en-AU"/>
        </w:rPr>
        <w:t xml:space="preserve">to City Plan </w:t>
      </w:r>
      <w:r w:rsidR="008C6684">
        <w:rPr>
          <w:rFonts w:cs="Arial"/>
          <w:lang w:val="en-AU"/>
        </w:rPr>
        <w:t xml:space="preserve">was </w:t>
      </w:r>
      <w:r w:rsidR="00F63A11" w:rsidRPr="002A53B6">
        <w:rPr>
          <w:rFonts w:cs="Arial"/>
          <w:lang w:val="en-AU"/>
        </w:rPr>
        <w:t xml:space="preserve">undertaken between </w:t>
      </w:r>
      <w:r w:rsidR="0031043E" w:rsidRPr="002A53B6">
        <w:rPr>
          <w:rFonts w:cs="Arial"/>
          <w:lang w:val="en-AU"/>
        </w:rPr>
        <w:t>12</w:t>
      </w:r>
      <w:r w:rsidR="00213C3A" w:rsidRPr="002A53B6">
        <w:rPr>
          <w:rFonts w:cs="Arial"/>
          <w:lang w:val="en-AU"/>
        </w:rPr>
        <w:t> </w:t>
      </w:r>
      <w:r w:rsidR="0031043E" w:rsidRPr="002A53B6">
        <w:rPr>
          <w:rFonts w:cs="Arial"/>
          <w:lang w:val="en-AU"/>
        </w:rPr>
        <w:t xml:space="preserve">July </w:t>
      </w:r>
      <w:r w:rsidR="00A176B2">
        <w:rPr>
          <w:rFonts w:cs="Arial"/>
          <w:lang w:val="en-AU"/>
        </w:rPr>
        <w:t xml:space="preserve">2021 </w:t>
      </w:r>
      <w:r w:rsidRPr="002A53B6">
        <w:rPr>
          <w:rFonts w:cs="Arial"/>
          <w:lang w:val="en-AU"/>
        </w:rPr>
        <w:t xml:space="preserve">and </w:t>
      </w:r>
      <w:r w:rsidR="007F2441" w:rsidRPr="002A53B6">
        <w:rPr>
          <w:rFonts w:cs="Arial"/>
          <w:lang w:val="en-AU"/>
        </w:rPr>
        <w:t>23</w:t>
      </w:r>
      <w:r w:rsidR="0031043E" w:rsidRPr="002A53B6">
        <w:rPr>
          <w:rFonts w:cs="Arial"/>
          <w:lang w:val="en-AU"/>
        </w:rPr>
        <w:t xml:space="preserve"> August 2021.</w:t>
      </w:r>
      <w:r w:rsidR="00D15318" w:rsidRPr="002A53B6">
        <w:rPr>
          <w:rFonts w:cs="Arial"/>
          <w:lang w:val="en-AU"/>
        </w:rPr>
        <w:t xml:space="preserve"> Th</w:t>
      </w:r>
      <w:r w:rsidR="009B3DDA" w:rsidRPr="002A53B6">
        <w:rPr>
          <w:rFonts w:cs="Arial"/>
          <w:lang w:val="en-AU"/>
        </w:rPr>
        <w:t>is included a</w:t>
      </w:r>
      <w:r w:rsidR="00CB47C4" w:rsidRPr="002A53B6">
        <w:rPr>
          <w:rFonts w:cs="Arial"/>
          <w:lang w:val="en-AU"/>
        </w:rPr>
        <w:t xml:space="preserve"> two</w:t>
      </w:r>
      <w:r w:rsidR="00213C3A" w:rsidRPr="002A53B6">
        <w:rPr>
          <w:rFonts w:cs="Arial"/>
          <w:lang w:val="en-AU"/>
        </w:rPr>
        <w:t>-</w:t>
      </w:r>
      <w:r w:rsidR="00CB47C4" w:rsidRPr="002A53B6">
        <w:rPr>
          <w:rFonts w:cs="Arial"/>
          <w:lang w:val="en-AU"/>
        </w:rPr>
        <w:t xml:space="preserve">week </w:t>
      </w:r>
      <w:r w:rsidR="00213C3A" w:rsidRPr="002A53B6">
        <w:rPr>
          <w:rFonts w:cs="Arial"/>
          <w:lang w:val="en-AU"/>
        </w:rPr>
        <w:t xml:space="preserve">extension </w:t>
      </w:r>
      <w:r w:rsidR="00CB47C4" w:rsidRPr="002A53B6">
        <w:rPr>
          <w:rFonts w:cs="Arial"/>
          <w:lang w:val="en-AU"/>
        </w:rPr>
        <w:t xml:space="preserve">to </w:t>
      </w:r>
      <w:r w:rsidR="009B3DDA" w:rsidRPr="002A53B6">
        <w:rPr>
          <w:rFonts w:cs="Arial"/>
          <w:lang w:val="en-AU"/>
        </w:rPr>
        <w:t xml:space="preserve">the </w:t>
      </w:r>
      <w:r w:rsidR="00D15318" w:rsidRPr="002A53B6">
        <w:rPr>
          <w:rFonts w:cs="Arial"/>
          <w:lang w:val="en-AU"/>
        </w:rPr>
        <w:t xml:space="preserve">public consultation period </w:t>
      </w:r>
      <w:r w:rsidR="009B3DDA" w:rsidRPr="002A53B6">
        <w:rPr>
          <w:rFonts w:cs="Arial"/>
          <w:lang w:val="en-AU"/>
        </w:rPr>
        <w:t xml:space="preserve">in </w:t>
      </w:r>
      <w:r w:rsidR="00D15318" w:rsidRPr="002A53B6">
        <w:rPr>
          <w:rFonts w:cs="Arial"/>
          <w:lang w:val="en-AU"/>
        </w:rPr>
        <w:t xml:space="preserve">response to </w:t>
      </w:r>
      <w:r w:rsidR="009E3F7D" w:rsidRPr="002A53B6">
        <w:rPr>
          <w:rFonts w:cs="Arial"/>
          <w:lang w:val="en-AU"/>
        </w:rPr>
        <w:t>a</w:t>
      </w:r>
      <w:r w:rsidR="00D15318" w:rsidRPr="002A53B6">
        <w:rPr>
          <w:rFonts w:cs="Arial"/>
          <w:lang w:val="en-AU"/>
        </w:rPr>
        <w:t xml:space="preserve"> coronavirus lockdown. </w:t>
      </w:r>
    </w:p>
    <w:p w14:paraId="3A951A2B" w14:textId="77777777" w:rsidR="00510322" w:rsidRPr="002A53B6" w:rsidRDefault="00510322" w:rsidP="002D0222">
      <w:pPr>
        <w:spacing w:after="0"/>
        <w:jc w:val="both"/>
        <w:rPr>
          <w:rFonts w:cs="Arial"/>
          <w:lang w:val="en-AU"/>
        </w:rPr>
      </w:pPr>
    </w:p>
    <w:p w14:paraId="69FE7877" w14:textId="6423CED2" w:rsidR="00C60EC1" w:rsidRDefault="00B2157F" w:rsidP="002D0222">
      <w:pPr>
        <w:spacing w:after="0"/>
        <w:jc w:val="both"/>
        <w:rPr>
          <w:rFonts w:cs="Arial"/>
          <w:lang w:val="en-AU"/>
        </w:rPr>
      </w:pPr>
      <w:r w:rsidRPr="002A53B6">
        <w:rPr>
          <w:rFonts w:cs="Arial"/>
          <w:lang w:val="en-AU"/>
        </w:rPr>
        <w:t xml:space="preserve">Council received a total </w:t>
      </w:r>
      <w:r w:rsidRPr="000A6373">
        <w:rPr>
          <w:rFonts w:cs="Arial"/>
          <w:lang w:val="en-AU"/>
        </w:rPr>
        <w:t>of</w:t>
      </w:r>
      <w:r w:rsidR="00DD66C8" w:rsidRPr="000A6373">
        <w:rPr>
          <w:rFonts w:cs="Arial"/>
          <w:lang w:val="en-AU"/>
        </w:rPr>
        <w:t xml:space="preserve"> </w:t>
      </w:r>
      <w:r w:rsidR="00693401" w:rsidRPr="000A6373">
        <w:rPr>
          <w:rFonts w:cs="Arial"/>
          <w:lang w:val="en-AU"/>
        </w:rPr>
        <w:t>44</w:t>
      </w:r>
      <w:r w:rsidRPr="000A6373">
        <w:rPr>
          <w:rFonts w:cs="Arial"/>
          <w:lang w:val="en-AU"/>
        </w:rPr>
        <w:t xml:space="preserve"> submissions</w:t>
      </w:r>
      <w:r w:rsidR="009E5F5D" w:rsidRPr="000A6373">
        <w:rPr>
          <w:rFonts w:cs="Arial"/>
          <w:lang w:val="en-AU"/>
        </w:rPr>
        <w:t xml:space="preserve">, </w:t>
      </w:r>
      <w:r w:rsidR="00D51EC6" w:rsidRPr="000A6373">
        <w:rPr>
          <w:rFonts w:cs="Arial"/>
          <w:lang w:val="en-AU"/>
        </w:rPr>
        <w:t>all of</w:t>
      </w:r>
      <w:r w:rsidR="00D51EC6" w:rsidRPr="00693401">
        <w:rPr>
          <w:rFonts w:cs="Arial"/>
          <w:lang w:val="en-AU"/>
        </w:rPr>
        <w:t xml:space="preserve"> which were properly made</w:t>
      </w:r>
      <w:r w:rsidR="00BB0370">
        <w:rPr>
          <w:rFonts w:cs="Arial"/>
          <w:lang w:val="en-AU"/>
        </w:rPr>
        <w:t xml:space="preserve">. </w:t>
      </w:r>
      <w:r w:rsidR="00D86E6D">
        <w:rPr>
          <w:rFonts w:cs="Arial"/>
          <w:lang w:val="en-AU"/>
        </w:rPr>
        <w:t xml:space="preserve">Of the submissions received, </w:t>
      </w:r>
      <w:r w:rsidR="003B0E34">
        <w:rPr>
          <w:rFonts w:cs="Arial"/>
          <w:lang w:val="en-AU"/>
        </w:rPr>
        <w:t>the</w:t>
      </w:r>
      <w:r w:rsidR="00D86E6D">
        <w:rPr>
          <w:rFonts w:cs="Arial"/>
          <w:lang w:val="en-AU"/>
        </w:rPr>
        <w:t>re were submissions of</w:t>
      </w:r>
      <w:r w:rsidR="003B0E34">
        <w:rPr>
          <w:rFonts w:cs="Arial"/>
          <w:lang w:val="en-AU"/>
        </w:rPr>
        <w:t xml:space="preserve"> support, support in part, </w:t>
      </w:r>
      <w:r w:rsidR="00F15110">
        <w:rPr>
          <w:rFonts w:cs="Arial"/>
          <w:lang w:val="en-AU"/>
        </w:rPr>
        <w:t>oppose</w:t>
      </w:r>
      <w:r w:rsidR="003B0E34">
        <w:rPr>
          <w:rFonts w:cs="Arial"/>
          <w:lang w:val="en-AU"/>
        </w:rPr>
        <w:t xml:space="preserve">, or out of scope </w:t>
      </w:r>
      <w:r w:rsidR="00C60EC1">
        <w:rPr>
          <w:rFonts w:cs="Arial"/>
          <w:lang w:val="en-AU"/>
        </w:rPr>
        <w:t xml:space="preserve">of </w:t>
      </w:r>
      <w:r w:rsidR="003B0E34">
        <w:rPr>
          <w:rFonts w:cs="Arial"/>
          <w:lang w:val="en-AU"/>
        </w:rPr>
        <w:t>Major amendment package K</w:t>
      </w:r>
      <w:r w:rsidR="00D86E6D">
        <w:rPr>
          <w:rFonts w:cs="Arial"/>
          <w:lang w:val="en-AU"/>
        </w:rPr>
        <w:t>.</w:t>
      </w:r>
      <w:r w:rsidR="003B0E34">
        <w:rPr>
          <w:rFonts w:cs="Arial"/>
          <w:lang w:val="en-AU"/>
        </w:rPr>
        <w:t xml:space="preserve"> </w:t>
      </w:r>
    </w:p>
    <w:p w14:paraId="24BE1641" w14:textId="77777777" w:rsidR="00C60EC1" w:rsidRDefault="00C60EC1" w:rsidP="002D0222">
      <w:pPr>
        <w:spacing w:after="0"/>
        <w:jc w:val="both"/>
        <w:rPr>
          <w:rFonts w:cs="Arial"/>
          <w:lang w:val="en-AU"/>
        </w:rPr>
      </w:pPr>
    </w:p>
    <w:p w14:paraId="245C26BE" w14:textId="207CC080" w:rsidR="00BB0370" w:rsidRDefault="006272BF" w:rsidP="002D0222">
      <w:pPr>
        <w:spacing w:after="0"/>
        <w:jc w:val="both"/>
        <w:rPr>
          <w:rFonts w:cs="Arial"/>
          <w:lang w:val="en-AU"/>
        </w:rPr>
      </w:pPr>
      <w:r>
        <w:rPr>
          <w:rFonts w:cs="Arial"/>
          <w:lang w:val="en-AU"/>
        </w:rPr>
        <w:t>M</w:t>
      </w:r>
      <w:r w:rsidR="00D86E6D">
        <w:rPr>
          <w:rFonts w:cs="Arial"/>
          <w:lang w:val="en-AU"/>
        </w:rPr>
        <w:t>atters</w:t>
      </w:r>
      <w:r w:rsidR="003B0E34">
        <w:rPr>
          <w:rFonts w:cs="Arial"/>
          <w:lang w:val="en-AU"/>
        </w:rPr>
        <w:t xml:space="preserve"> </w:t>
      </w:r>
      <w:r w:rsidR="00D86E6D">
        <w:rPr>
          <w:rFonts w:cs="Arial"/>
          <w:lang w:val="en-AU"/>
        </w:rPr>
        <w:t>raised by submitters include</w:t>
      </w:r>
      <w:r w:rsidR="002C7B88">
        <w:rPr>
          <w:rFonts w:cs="Arial"/>
          <w:lang w:val="en-AU"/>
        </w:rPr>
        <w:t>d</w:t>
      </w:r>
      <w:r w:rsidR="00875F4F">
        <w:rPr>
          <w:rFonts w:cs="Arial"/>
          <w:lang w:val="en-AU"/>
        </w:rPr>
        <w:t>:</w:t>
      </w:r>
    </w:p>
    <w:p w14:paraId="19F3D2FD" w14:textId="5642DCC9" w:rsidR="00BB0370" w:rsidRPr="00875F4F" w:rsidRDefault="00BB0370" w:rsidP="006470FF">
      <w:pPr>
        <w:pStyle w:val="ListParagraph"/>
        <w:numPr>
          <w:ilvl w:val="0"/>
          <w:numId w:val="34"/>
        </w:numPr>
        <w:spacing w:after="0"/>
        <w:ind w:hanging="720"/>
        <w:jc w:val="both"/>
        <w:rPr>
          <w:rFonts w:cs="Arial"/>
          <w:lang w:val="en-AU"/>
        </w:rPr>
      </w:pPr>
      <w:r w:rsidRPr="00875F4F">
        <w:rPr>
          <w:rFonts w:cs="Arial"/>
          <w:lang w:val="en-AU"/>
        </w:rPr>
        <w:t>Zoning</w:t>
      </w:r>
      <w:r w:rsidR="00475A87">
        <w:rPr>
          <w:rFonts w:cs="Arial"/>
          <w:lang w:val="en-AU"/>
        </w:rPr>
        <w:t xml:space="preserve"> changes</w:t>
      </w:r>
      <w:r w:rsidR="00875F4F" w:rsidRPr="00875F4F">
        <w:rPr>
          <w:rFonts w:cs="Arial"/>
          <w:lang w:val="en-AU"/>
        </w:rPr>
        <w:t xml:space="preserve"> </w:t>
      </w:r>
    </w:p>
    <w:p w14:paraId="4A042B9B" w14:textId="18056E3D" w:rsidR="00BB0370" w:rsidRPr="00246269" w:rsidRDefault="00BB0370" w:rsidP="006470FF">
      <w:pPr>
        <w:pStyle w:val="ListParagraph"/>
        <w:numPr>
          <w:ilvl w:val="0"/>
          <w:numId w:val="34"/>
        </w:numPr>
        <w:spacing w:after="0"/>
        <w:ind w:hanging="720"/>
        <w:jc w:val="both"/>
        <w:rPr>
          <w:rFonts w:cs="Arial"/>
          <w:lang w:val="en-AU"/>
        </w:rPr>
      </w:pPr>
      <w:r w:rsidRPr="00246269">
        <w:rPr>
          <w:rFonts w:cs="Arial"/>
          <w:lang w:val="en-AU"/>
        </w:rPr>
        <w:t>Overlay</w:t>
      </w:r>
      <w:r w:rsidR="00475A87">
        <w:rPr>
          <w:rFonts w:cs="Arial"/>
          <w:lang w:val="en-AU"/>
        </w:rPr>
        <w:t xml:space="preserve"> changes</w:t>
      </w:r>
      <w:r w:rsidR="00875F4F" w:rsidRPr="00246269">
        <w:rPr>
          <w:rFonts w:cs="Arial"/>
          <w:lang w:val="en-AU"/>
        </w:rPr>
        <w:t xml:space="preserve"> </w:t>
      </w:r>
    </w:p>
    <w:p w14:paraId="5BA3C547" w14:textId="1A4B204B" w:rsidR="00BB0370" w:rsidRDefault="00BB0370" w:rsidP="006470FF">
      <w:pPr>
        <w:pStyle w:val="ListParagraph"/>
        <w:numPr>
          <w:ilvl w:val="0"/>
          <w:numId w:val="34"/>
        </w:numPr>
        <w:spacing w:after="0"/>
        <w:ind w:hanging="720"/>
        <w:jc w:val="both"/>
        <w:rPr>
          <w:rFonts w:cs="Arial"/>
          <w:lang w:val="en-AU"/>
        </w:rPr>
      </w:pPr>
      <w:r w:rsidRPr="00246269">
        <w:rPr>
          <w:rFonts w:cs="Arial"/>
          <w:lang w:val="en-AU"/>
        </w:rPr>
        <w:t xml:space="preserve">Industry </w:t>
      </w:r>
      <w:r w:rsidR="00475A87">
        <w:rPr>
          <w:rFonts w:cs="Arial"/>
          <w:lang w:val="en-AU"/>
        </w:rPr>
        <w:t>changes</w:t>
      </w:r>
    </w:p>
    <w:p w14:paraId="281A2146" w14:textId="4F22A8FF" w:rsidR="00F20C71" w:rsidRPr="00246269" w:rsidRDefault="00F20C71" w:rsidP="006470FF">
      <w:pPr>
        <w:pStyle w:val="ListParagraph"/>
        <w:numPr>
          <w:ilvl w:val="0"/>
          <w:numId w:val="34"/>
        </w:numPr>
        <w:spacing w:after="0"/>
        <w:ind w:hanging="720"/>
        <w:jc w:val="both"/>
        <w:rPr>
          <w:rFonts w:cs="Arial"/>
          <w:lang w:val="en-AU"/>
        </w:rPr>
      </w:pPr>
      <w:r>
        <w:rPr>
          <w:rFonts w:cs="Arial"/>
          <w:lang w:val="en-AU"/>
        </w:rPr>
        <w:t xml:space="preserve">Park changes </w:t>
      </w:r>
    </w:p>
    <w:p w14:paraId="23D27A4E" w14:textId="24F5C7B4" w:rsidR="00BB0370" w:rsidRPr="003B0E34" w:rsidRDefault="00BB0370" w:rsidP="006470FF">
      <w:pPr>
        <w:pStyle w:val="ListParagraph"/>
        <w:numPr>
          <w:ilvl w:val="0"/>
          <w:numId w:val="34"/>
        </w:numPr>
        <w:spacing w:after="0"/>
        <w:ind w:hanging="720"/>
        <w:jc w:val="both"/>
        <w:rPr>
          <w:rFonts w:cs="Arial"/>
          <w:lang w:val="en-AU"/>
        </w:rPr>
      </w:pPr>
      <w:r w:rsidRPr="003B0E34">
        <w:rPr>
          <w:rFonts w:cs="Arial"/>
          <w:lang w:val="en-AU"/>
        </w:rPr>
        <w:t xml:space="preserve">Heritage </w:t>
      </w:r>
      <w:r w:rsidR="00475A87">
        <w:rPr>
          <w:rFonts w:cs="Arial"/>
          <w:lang w:val="en-AU"/>
        </w:rPr>
        <w:t>changes</w:t>
      </w:r>
      <w:r w:rsidR="008C6684">
        <w:rPr>
          <w:rFonts w:cs="Arial"/>
          <w:lang w:val="en-AU"/>
        </w:rPr>
        <w:t xml:space="preserve"> </w:t>
      </w:r>
    </w:p>
    <w:p w14:paraId="21126C86" w14:textId="35447B3A" w:rsidR="00BB0370" w:rsidRPr="004C08E5" w:rsidRDefault="00480DD8" w:rsidP="006470FF">
      <w:pPr>
        <w:pStyle w:val="ListParagraph"/>
        <w:numPr>
          <w:ilvl w:val="0"/>
          <w:numId w:val="34"/>
        </w:numPr>
        <w:spacing w:after="0"/>
        <w:ind w:hanging="720"/>
        <w:jc w:val="both"/>
        <w:rPr>
          <w:rFonts w:cs="Arial"/>
          <w:lang w:val="en-AU"/>
        </w:rPr>
      </w:pPr>
      <w:r>
        <w:rPr>
          <w:rFonts w:cs="Arial"/>
          <w:lang w:val="en-AU"/>
        </w:rPr>
        <w:t>Out of scope</w:t>
      </w:r>
      <w:r w:rsidR="006470FF">
        <w:rPr>
          <w:rFonts w:cs="Arial"/>
          <w:lang w:val="en-AU"/>
        </w:rPr>
        <w:t>.</w:t>
      </w:r>
      <w:r w:rsidR="00875F4F" w:rsidRPr="00D86E6D">
        <w:rPr>
          <w:rFonts w:cs="Arial"/>
          <w:lang w:val="en-AU"/>
        </w:rPr>
        <w:t xml:space="preserve"> </w:t>
      </w:r>
    </w:p>
    <w:p w14:paraId="08509461" w14:textId="73988736" w:rsidR="00C065B6" w:rsidRDefault="00C065B6" w:rsidP="002D0222">
      <w:pPr>
        <w:spacing w:after="0"/>
        <w:jc w:val="both"/>
        <w:rPr>
          <w:rFonts w:cs="Arial"/>
          <w:lang w:val="en-AU"/>
        </w:rPr>
      </w:pPr>
    </w:p>
    <w:p w14:paraId="37E1C93F" w14:textId="37B33449" w:rsidR="00C065B6" w:rsidRDefault="00C065B6" w:rsidP="002D0222">
      <w:pPr>
        <w:spacing w:after="0"/>
        <w:jc w:val="both"/>
        <w:rPr>
          <w:rFonts w:cs="Arial"/>
          <w:lang w:val="en-AU"/>
        </w:rPr>
      </w:pPr>
      <w:r>
        <w:rPr>
          <w:rFonts w:cs="Arial"/>
          <w:lang w:val="en-AU"/>
        </w:rPr>
        <w:t>N</w:t>
      </w:r>
      <w:r w:rsidRPr="002A53B6">
        <w:rPr>
          <w:rFonts w:cs="Arial"/>
          <w:lang w:val="en-AU"/>
        </w:rPr>
        <w:t>ote</w:t>
      </w:r>
      <w:r>
        <w:rPr>
          <w:rFonts w:cs="Arial"/>
          <w:lang w:val="en-AU"/>
        </w:rPr>
        <w:t>:</w:t>
      </w:r>
      <w:r w:rsidRPr="002A53B6">
        <w:rPr>
          <w:rFonts w:cs="Arial"/>
          <w:lang w:val="en-AU"/>
        </w:rPr>
        <w:t xml:space="preserve"> Submission </w:t>
      </w:r>
      <w:r>
        <w:rPr>
          <w:rFonts w:cs="Arial"/>
          <w:lang w:val="en-AU"/>
        </w:rPr>
        <w:t>r</w:t>
      </w:r>
      <w:r w:rsidRPr="002A53B6">
        <w:rPr>
          <w:rFonts w:cs="Arial"/>
          <w:lang w:val="en-AU"/>
        </w:rPr>
        <w:t xml:space="preserve">eference numbers are allocated for identification purposes only and do not represent the total number of submissions received. </w:t>
      </w:r>
    </w:p>
    <w:p w14:paraId="70E9B88C" w14:textId="5159BF81" w:rsidR="00475A87" w:rsidRDefault="00475A87" w:rsidP="002D0222">
      <w:pPr>
        <w:spacing w:after="0"/>
        <w:jc w:val="both"/>
        <w:rPr>
          <w:rFonts w:cs="Arial"/>
          <w:lang w:val="en-AU"/>
        </w:rPr>
      </w:pPr>
    </w:p>
    <w:p w14:paraId="7B14A063" w14:textId="08329B4C" w:rsidR="00475A87" w:rsidRPr="002A53B6" w:rsidRDefault="00475A87" w:rsidP="002D0222">
      <w:pPr>
        <w:spacing w:after="0"/>
        <w:jc w:val="both"/>
        <w:rPr>
          <w:rFonts w:cs="Arial"/>
          <w:lang w:val="en-AU"/>
        </w:rPr>
      </w:pPr>
      <w:r>
        <w:rPr>
          <w:rFonts w:cs="Arial"/>
          <w:lang w:val="en-AU"/>
        </w:rPr>
        <w:t xml:space="preserve">It is important to note </w:t>
      </w:r>
      <w:r w:rsidR="00A176B2">
        <w:rPr>
          <w:rFonts w:cs="Arial"/>
          <w:lang w:val="en-AU"/>
        </w:rPr>
        <w:t xml:space="preserve">that </w:t>
      </w:r>
      <w:r>
        <w:rPr>
          <w:rFonts w:cs="Arial"/>
          <w:lang w:val="en-AU"/>
        </w:rPr>
        <w:t>the proposed amendment may be subject to further changes required by the Queensland Government during the Minister’s consideration period.</w:t>
      </w:r>
    </w:p>
    <w:p w14:paraId="026F9503" w14:textId="77777777" w:rsidR="00C065B6" w:rsidRPr="002A53B6" w:rsidRDefault="00C065B6" w:rsidP="002D0222">
      <w:pPr>
        <w:pStyle w:val="NoSpacing"/>
        <w:rPr>
          <w:rFonts w:ascii="Arial" w:hAnsi="Arial" w:cs="Arial"/>
          <w:lang w:val="en-AU"/>
        </w:rPr>
      </w:pPr>
    </w:p>
    <w:p w14:paraId="65A57624" w14:textId="4A237161" w:rsidR="00B2157F" w:rsidRPr="002A53B6" w:rsidRDefault="00781DA5" w:rsidP="002D0222">
      <w:pPr>
        <w:pStyle w:val="Heading2"/>
        <w:spacing w:before="0" w:after="0"/>
        <w:ind w:left="851" w:hanging="851"/>
      </w:pPr>
      <w:bookmarkStart w:id="12" w:name="_Toc117175560"/>
      <w:r w:rsidRPr="002A53B6">
        <w:t>2.0</w:t>
      </w:r>
      <w:r w:rsidR="00CB51D5" w:rsidRPr="002A53B6">
        <w:tab/>
      </w:r>
      <w:r w:rsidR="00B2157F" w:rsidRPr="002A53B6">
        <w:t>Engagement activities</w:t>
      </w:r>
      <w:bookmarkEnd w:id="12"/>
    </w:p>
    <w:p w14:paraId="1BA2E2B7" w14:textId="77777777" w:rsidR="00475A87" w:rsidRPr="002A53B6" w:rsidRDefault="00475A87" w:rsidP="002D0222">
      <w:pPr>
        <w:spacing w:after="0"/>
        <w:rPr>
          <w:rFonts w:cs="Arial"/>
          <w:lang w:val="en-AU"/>
        </w:rPr>
      </w:pPr>
    </w:p>
    <w:p w14:paraId="17B231C0" w14:textId="51C2E751" w:rsidR="00B2157F" w:rsidRDefault="00B2157F" w:rsidP="002D0222">
      <w:pPr>
        <w:spacing w:after="0"/>
        <w:rPr>
          <w:rFonts w:cs="Arial"/>
          <w:lang w:val="en-AU"/>
        </w:rPr>
      </w:pPr>
      <w:r w:rsidRPr="002A53B6">
        <w:rPr>
          <w:rFonts w:cs="Arial"/>
          <w:lang w:val="en-AU"/>
        </w:rPr>
        <w:t>Council held the following community consultation events during the public notification period:</w:t>
      </w:r>
    </w:p>
    <w:p w14:paraId="3D30F1EE" w14:textId="37AFAAAF" w:rsidR="006470FF" w:rsidRDefault="006470FF" w:rsidP="002D0222">
      <w:pPr>
        <w:spacing w:after="0"/>
        <w:rPr>
          <w:rFonts w:cs="Arial"/>
          <w:szCs w:val="24"/>
          <w:lang w:val="en-AU"/>
        </w:rPr>
      </w:pPr>
      <w:r w:rsidRPr="002A53B6">
        <w:rPr>
          <w:rFonts w:cs="Arial"/>
          <w:bCs/>
          <w:szCs w:val="24"/>
          <w:lang w:val="en-AU"/>
        </w:rPr>
        <w:t>Talk-to-a-planner session</w:t>
      </w:r>
      <w:r>
        <w:rPr>
          <w:rFonts w:cs="Arial"/>
          <w:bCs/>
          <w:szCs w:val="24"/>
          <w:lang w:val="en-AU"/>
        </w:rPr>
        <w:tab/>
      </w:r>
      <w:r>
        <w:rPr>
          <w:rFonts w:cs="Arial"/>
          <w:bCs/>
          <w:szCs w:val="24"/>
          <w:lang w:val="en-AU"/>
        </w:rPr>
        <w:tab/>
      </w:r>
      <w:r w:rsidRPr="002A53B6">
        <w:rPr>
          <w:rFonts w:cs="Arial"/>
          <w:szCs w:val="24"/>
          <w:lang w:val="en-AU"/>
        </w:rPr>
        <w:t>22 July 2021</w:t>
      </w:r>
    </w:p>
    <w:p w14:paraId="6933DB08" w14:textId="7EC6CA89" w:rsidR="006470FF" w:rsidRDefault="006470FF" w:rsidP="002D0222">
      <w:pPr>
        <w:spacing w:after="0"/>
        <w:rPr>
          <w:rFonts w:cs="Arial"/>
          <w:szCs w:val="24"/>
          <w:lang w:val="en-AU"/>
        </w:rPr>
      </w:pPr>
      <w:r w:rsidRPr="002A53B6">
        <w:rPr>
          <w:rFonts w:cs="Arial"/>
          <w:bCs/>
          <w:szCs w:val="24"/>
          <w:lang w:val="en-AU"/>
        </w:rPr>
        <w:t>Talk-to-a-planner online session</w:t>
      </w:r>
      <w:r>
        <w:rPr>
          <w:rFonts w:cs="Arial"/>
          <w:bCs/>
          <w:szCs w:val="24"/>
          <w:lang w:val="en-AU"/>
        </w:rPr>
        <w:tab/>
      </w:r>
      <w:r>
        <w:rPr>
          <w:rFonts w:cs="Arial"/>
          <w:bCs/>
          <w:szCs w:val="24"/>
          <w:lang w:val="en-AU"/>
        </w:rPr>
        <w:tab/>
      </w:r>
      <w:r w:rsidRPr="002A53B6">
        <w:rPr>
          <w:rFonts w:cs="Arial"/>
          <w:szCs w:val="24"/>
          <w:lang w:val="en-AU"/>
        </w:rPr>
        <w:t>23 July 2021</w:t>
      </w:r>
    </w:p>
    <w:p w14:paraId="24FC3470" w14:textId="77777777" w:rsidR="006470FF" w:rsidRPr="002A53B6" w:rsidRDefault="006470FF" w:rsidP="006470FF">
      <w:pPr>
        <w:spacing w:after="0"/>
        <w:rPr>
          <w:rFonts w:cs="Arial"/>
          <w:szCs w:val="24"/>
          <w:lang w:val="en-AU"/>
        </w:rPr>
      </w:pPr>
      <w:r w:rsidRPr="002A53B6">
        <w:rPr>
          <w:rFonts w:cs="Arial"/>
          <w:bCs/>
          <w:szCs w:val="24"/>
          <w:lang w:val="en-AU"/>
        </w:rPr>
        <w:t>Talk-to-a-planner session</w:t>
      </w:r>
      <w:r>
        <w:rPr>
          <w:rFonts w:cs="Arial"/>
          <w:bCs/>
          <w:szCs w:val="24"/>
          <w:lang w:val="en-AU"/>
        </w:rPr>
        <w:tab/>
      </w:r>
      <w:r>
        <w:rPr>
          <w:rFonts w:cs="Arial"/>
          <w:bCs/>
          <w:szCs w:val="24"/>
          <w:lang w:val="en-AU"/>
        </w:rPr>
        <w:tab/>
      </w:r>
      <w:r w:rsidRPr="002A53B6">
        <w:rPr>
          <w:rFonts w:cs="Arial"/>
          <w:szCs w:val="24"/>
          <w:lang w:val="en-AU"/>
        </w:rPr>
        <w:t>26 July 2021</w:t>
      </w:r>
    </w:p>
    <w:p w14:paraId="6EB55375" w14:textId="77777777" w:rsidR="006470FF" w:rsidRPr="002A53B6" w:rsidRDefault="006470FF" w:rsidP="006470FF">
      <w:pPr>
        <w:spacing w:after="0"/>
        <w:rPr>
          <w:rFonts w:cs="Arial"/>
          <w:szCs w:val="24"/>
          <w:lang w:val="en-AU"/>
        </w:rPr>
      </w:pPr>
      <w:r w:rsidRPr="002A53B6">
        <w:rPr>
          <w:rFonts w:cs="Arial"/>
          <w:bCs/>
          <w:szCs w:val="24"/>
          <w:lang w:val="en-AU"/>
        </w:rPr>
        <w:t>Talk-to-a-planner online session</w:t>
      </w:r>
      <w:r>
        <w:rPr>
          <w:rFonts w:cs="Arial"/>
          <w:bCs/>
          <w:szCs w:val="24"/>
          <w:lang w:val="en-AU"/>
        </w:rPr>
        <w:tab/>
      </w:r>
      <w:r>
        <w:rPr>
          <w:rFonts w:cs="Arial"/>
          <w:bCs/>
          <w:szCs w:val="24"/>
          <w:lang w:val="en-AU"/>
        </w:rPr>
        <w:tab/>
      </w:r>
      <w:r w:rsidRPr="002A53B6">
        <w:rPr>
          <w:rFonts w:cs="Arial"/>
          <w:szCs w:val="24"/>
          <w:lang w:val="en-AU"/>
        </w:rPr>
        <w:t>28 July 2021</w:t>
      </w:r>
    </w:p>
    <w:p w14:paraId="2B54ED0C" w14:textId="79382BB7" w:rsidR="006470FF" w:rsidRPr="002A53B6" w:rsidRDefault="006470FF" w:rsidP="006470FF">
      <w:pPr>
        <w:spacing w:after="0"/>
        <w:rPr>
          <w:rFonts w:cs="Arial"/>
          <w:lang w:val="en-AU"/>
        </w:rPr>
      </w:pPr>
      <w:r w:rsidRPr="002A53B6">
        <w:rPr>
          <w:rFonts w:cs="Arial"/>
          <w:bCs/>
          <w:szCs w:val="24"/>
          <w:lang w:val="en-AU"/>
        </w:rPr>
        <w:t>Talk-to-a-planner session</w:t>
      </w:r>
      <w:r>
        <w:rPr>
          <w:rFonts w:cs="Arial"/>
          <w:bCs/>
          <w:szCs w:val="24"/>
          <w:lang w:val="en-AU"/>
        </w:rPr>
        <w:tab/>
      </w:r>
      <w:r>
        <w:rPr>
          <w:rFonts w:cs="Arial"/>
          <w:bCs/>
          <w:szCs w:val="24"/>
          <w:lang w:val="en-AU"/>
        </w:rPr>
        <w:tab/>
      </w:r>
      <w:r w:rsidRPr="002A53B6">
        <w:rPr>
          <w:rFonts w:cs="Arial"/>
          <w:szCs w:val="24"/>
          <w:lang w:val="en-AU"/>
        </w:rPr>
        <w:t>29 July 2021</w:t>
      </w:r>
    </w:p>
    <w:p w14:paraId="606EDFEE" w14:textId="77777777" w:rsidR="00B2157F" w:rsidRPr="002A53B6" w:rsidRDefault="00B2157F" w:rsidP="002D0222">
      <w:pPr>
        <w:spacing w:after="0"/>
        <w:rPr>
          <w:rFonts w:cs="Arial"/>
          <w:lang w:val="en-AU"/>
        </w:rPr>
      </w:pPr>
    </w:p>
    <w:p w14:paraId="18919085" w14:textId="35B23389" w:rsidR="00F63A11" w:rsidRPr="002A53B6" w:rsidRDefault="00F63A11" w:rsidP="002D0222">
      <w:pPr>
        <w:spacing w:after="0"/>
        <w:rPr>
          <w:rFonts w:cs="Arial"/>
          <w:lang w:val="en-AU"/>
        </w:rPr>
      </w:pPr>
      <w:r w:rsidRPr="002A53B6">
        <w:rPr>
          <w:rFonts w:cs="Arial"/>
          <w:lang w:val="en-AU"/>
        </w:rPr>
        <w:t>Council notified the proposed amendment in the following manner:</w:t>
      </w:r>
    </w:p>
    <w:tbl>
      <w:tblPr>
        <w:tblStyle w:val="TableGrid"/>
        <w:tblW w:w="14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12050"/>
      </w:tblGrid>
      <w:tr w:rsidR="00FC4934" w:rsidRPr="002A53B6" w14:paraId="1C1908EF" w14:textId="77777777" w:rsidTr="00822335">
        <w:tc>
          <w:tcPr>
            <w:tcW w:w="2409" w:type="dxa"/>
          </w:tcPr>
          <w:p w14:paraId="33FB39F3" w14:textId="77777777" w:rsidR="00FC4934" w:rsidRPr="002A53B6" w:rsidRDefault="00FC4934" w:rsidP="006470FF">
            <w:pPr>
              <w:spacing w:before="60" w:after="0"/>
              <w:rPr>
                <w:rFonts w:cs="Arial"/>
                <w:lang w:val="en-AU"/>
              </w:rPr>
            </w:pPr>
            <w:r w:rsidRPr="002A53B6">
              <w:rPr>
                <w:rFonts w:cs="Arial"/>
                <w:lang w:val="en-AU"/>
              </w:rPr>
              <w:t xml:space="preserve">Newspaper notification    </w:t>
            </w:r>
          </w:p>
        </w:tc>
        <w:tc>
          <w:tcPr>
            <w:tcW w:w="12050" w:type="dxa"/>
          </w:tcPr>
          <w:p w14:paraId="47EAF72B" w14:textId="2776D405" w:rsidR="00FC4934" w:rsidRPr="002A53B6" w:rsidRDefault="00FC4934" w:rsidP="006470FF">
            <w:pPr>
              <w:spacing w:before="60" w:after="0"/>
              <w:rPr>
                <w:rFonts w:cs="Arial"/>
                <w:lang w:val="en-AU"/>
              </w:rPr>
            </w:pPr>
            <w:r w:rsidRPr="002A53B6">
              <w:rPr>
                <w:rFonts w:cs="Arial"/>
                <w:lang w:val="en-AU"/>
              </w:rPr>
              <w:t xml:space="preserve">A public notice appeared in </w:t>
            </w:r>
            <w:r w:rsidRPr="002A53B6">
              <w:rPr>
                <w:rFonts w:cs="Arial"/>
                <w:i/>
                <w:lang w:val="en-AU"/>
              </w:rPr>
              <w:t>The Courier-Mail</w:t>
            </w:r>
            <w:r w:rsidRPr="002A53B6">
              <w:rPr>
                <w:rFonts w:cs="Arial"/>
                <w:lang w:val="en-AU"/>
              </w:rPr>
              <w:t xml:space="preserve"> on </w:t>
            </w:r>
            <w:r w:rsidR="0031043E" w:rsidRPr="002A53B6">
              <w:rPr>
                <w:rFonts w:cs="Arial"/>
                <w:lang w:val="en-AU"/>
              </w:rPr>
              <w:t>9 July 2021</w:t>
            </w:r>
            <w:r w:rsidRPr="002A53B6">
              <w:rPr>
                <w:rFonts w:cs="Arial"/>
                <w:lang w:val="en-AU"/>
              </w:rPr>
              <w:t>.</w:t>
            </w:r>
          </w:p>
        </w:tc>
      </w:tr>
      <w:tr w:rsidR="00FC4934" w:rsidRPr="002A53B6" w14:paraId="37CEE299" w14:textId="77777777" w:rsidTr="00822335">
        <w:tc>
          <w:tcPr>
            <w:tcW w:w="2409" w:type="dxa"/>
          </w:tcPr>
          <w:p w14:paraId="07788A46" w14:textId="77777777" w:rsidR="00FC4934" w:rsidRPr="002A53B6" w:rsidRDefault="00FC4934" w:rsidP="006470FF">
            <w:pPr>
              <w:spacing w:before="60" w:after="0"/>
              <w:rPr>
                <w:rFonts w:cs="Arial"/>
                <w:lang w:val="en-AU"/>
              </w:rPr>
            </w:pPr>
            <w:r w:rsidRPr="002A53B6">
              <w:rPr>
                <w:rFonts w:cs="Arial"/>
                <w:lang w:val="en-AU"/>
              </w:rPr>
              <w:t xml:space="preserve">Council website   </w:t>
            </w:r>
          </w:p>
        </w:tc>
        <w:tc>
          <w:tcPr>
            <w:tcW w:w="12050" w:type="dxa"/>
          </w:tcPr>
          <w:p w14:paraId="365D63EA" w14:textId="5491B3BE" w:rsidR="00FC4934" w:rsidRPr="002A53B6" w:rsidRDefault="00FC4934" w:rsidP="006470FF">
            <w:pPr>
              <w:spacing w:before="60" w:after="0"/>
              <w:rPr>
                <w:rFonts w:cs="Arial"/>
                <w:lang w:val="en-AU"/>
              </w:rPr>
            </w:pPr>
            <w:r w:rsidRPr="002A53B6">
              <w:rPr>
                <w:rFonts w:cs="Arial"/>
                <w:lang w:val="en-AU"/>
              </w:rPr>
              <w:t xml:space="preserve">Web pages providing detail of the proposed amendment were published and maintained from </w:t>
            </w:r>
            <w:r w:rsidR="0031043E" w:rsidRPr="002A53B6">
              <w:rPr>
                <w:rFonts w:cs="Arial"/>
                <w:lang w:val="en-AU"/>
              </w:rPr>
              <w:t>12 July 2021</w:t>
            </w:r>
            <w:r w:rsidRPr="002A53B6">
              <w:rPr>
                <w:rFonts w:cs="Arial"/>
                <w:lang w:val="en-AU"/>
              </w:rPr>
              <w:t>.</w:t>
            </w:r>
          </w:p>
        </w:tc>
      </w:tr>
      <w:tr w:rsidR="00FC4934" w:rsidRPr="002A53B6" w14:paraId="007F4EDF" w14:textId="77777777" w:rsidTr="00822335">
        <w:trPr>
          <w:trHeight w:val="467"/>
        </w:trPr>
        <w:tc>
          <w:tcPr>
            <w:tcW w:w="2409" w:type="dxa"/>
          </w:tcPr>
          <w:p w14:paraId="18D8C777" w14:textId="7AC7037A" w:rsidR="00E3615B" w:rsidRDefault="00FC4934" w:rsidP="006470FF">
            <w:pPr>
              <w:spacing w:before="60" w:after="0"/>
              <w:rPr>
                <w:rFonts w:cs="Arial"/>
                <w:lang w:val="en-AU"/>
              </w:rPr>
            </w:pPr>
            <w:r w:rsidRPr="002A53B6">
              <w:rPr>
                <w:rFonts w:cs="Arial"/>
                <w:lang w:val="en-AU"/>
              </w:rPr>
              <w:t>Email</w:t>
            </w:r>
          </w:p>
          <w:p w14:paraId="16D7D237" w14:textId="076B54BC" w:rsidR="00E3615B" w:rsidRPr="002A53B6" w:rsidRDefault="00E3615B" w:rsidP="006470FF">
            <w:pPr>
              <w:spacing w:before="60" w:after="0"/>
              <w:rPr>
                <w:rFonts w:cs="Arial"/>
                <w:lang w:val="en-AU"/>
              </w:rPr>
            </w:pPr>
          </w:p>
        </w:tc>
        <w:tc>
          <w:tcPr>
            <w:tcW w:w="12050" w:type="dxa"/>
          </w:tcPr>
          <w:p w14:paraId="70A83828" w14:textId="0D1CE53F" w:rsidR="00E3615B" w:rsidRPr="002A53B6" w:rsidRDefault="00FC4934" w:rsidP="006470FF">
            <w:pPr>
              <w:spacing w:before="60" w:after="0"/>
              <w:jc w:val="both"/>
              <w:rPr>
                <w:rFonts w:cs="Arial"/>
                <w:lang w:val="en-AU"/>
              </w:rPr>
            </w:pPr>
            <w:r w:rsidRPr="002A53B6">
              <w:rPr>
                <w:rFonts w:cs="Arial"/>
                <w:lang w:val="en-AU"/>
              </w:rPr>
              <w:t xml:space="preserve">An email was sent to City Plan updates subscribers on </w:t>
            </w:r>
            <w:r w:rsidR="001F60D0" w:rsidRPr="002A53B6">
              <w:rPr>
                <w:rFonts w:cs="Arial"/>
                <w:lang w:val="en-AU"/>
              </w:rPr>
              <w:t>12 July 2021</w:t>
            </w:r>
            <w:r w:rsidR="000E3C6E" w:rsidRPr="002A53B6">
              <w:rPr>
                <w:rFonts w:cs="Arial"/>
                <w:lang w:val="en-AU"/>
              </w:rPr>
              <w:t xml:space="preserve"> and on </w:t>
            </w:r>
            <w:r w:rsidR="0048347A" w:rsidRPr="002A53B6">
              <w:rPr>
                <w:rFonts w:cs="Arial"/>
                <w:lang w:val="en-AU"/>
              </w:rPr>
              <w:t>6 August 2021 to advise of the extension to the public consultation period</w:t>
            </w:r>
            <w:r w:rsidR="006470FF">
              <w:rPr>
                <w:rFonts w:cs="Arial"/>
                <w:lang w:val="en-AU"/>
              </w:rPr>
              <w:t>.</w:t>
            </w:r>
          </w:p>
        </w:tc>
      </w:tr>
      <w:tr w:rsidR="006470FF" w:rsidRPr="002A53B6" w14:paraId="656A162E" w14:textId="77777777" w:rsidTr="00822335">
        <w:tc>
          <w:tcPr>
            <w:tcW w:w="2409" w:type="dxa"/>
          </w:tcPr>
          <w:p w14:paraId="7E665E30" w14:textId="3B9E6678" w:rsidR="006470FF" w:rsidRPr="002A53B6" w:rsidRDefault="006470FF" w:rsidP="006470FF">
            <w:pPr>
              <w:spacing w:before="60" w:after="0"/>
              <w:rPr>
                <w:rFonts w:cs="Arial"/>
                <w:lang w:val="en-AU"/>
              </w:rPr>
            </w:pPr>
            <w:r>
              <w:rPr>
                <w:rFonts w:cs="Arial"/>
                <w:lang w:val="en-AU"/>
              </w:rPr>
              <w:t>Letters to landowners</w:t>
            </w:r>
          </w:p>
        </w:tc>
        <w:tc>
          <w:tcPr>
            <w:tcW w:w="12050" w:type="dxa"/>
          </w:tcPr>
          <w:p w14:paraId="38385D8F" w14:textId="169ECB61" w:rsidR="006470FF" w:rsidRPr="002A53B6" w:rsidRDefault="006470FF" w:rsidP="006470FF">
            <w:pPr>
              <w:spacing w:before="60" w:after="0"/>
              <w:jc w:val="both"/>
              <w:rPr>
                <w:rFonts w:cs="Arial"/>
                <w:lang w:val="en-AU"/>
              </w:rPr>
            </w:pPr>
            <w:r>
              <w:rPr>
                <w:rFonts w:cs="Arial"/>
                <w:lang w:val="en-AU"/>
              </w:rPr>
              <w:t xml:space="preserve">Letters were sent to affected landowners for all proposed zoning and overlay mapping changes. Letters were also sent to the landowners </w:t>
            </w:r>
            <w:proofErr w:type="gramStart"/>
            <w:r>
              <w:rPr>
                <w:rFonts w:cs="Arial"/>
                <w:lang w:val="en-AU"/>
              </w:rPr>
              <w:t>in the area of</w:t>
            </w:r>
            <w:proofErr w:type="gramEnd"/>
            <w:r>
              <w:rPr>
                <w:rFonts w:cs="Arial"/>
                <w:lang w:val="en-AU"/>
              </w:rPr>
              <w:t xml:space="preserve"> The Temporary Local Planning Instrument </w:t>
            </w:r>
            <w:r>
              <w:t>No. 2 of 2021 (Colmslie Road Industry Precinct).</w:t>
            </w:r>
          </w:p>
        </w:tc>
      </w:tr>
    </w:tbl>
    <w:p w14:paraId="254113BF" w14:textId="52E04FD6" w:rsidR="00B2157F" w:rsidRPr="002A53B6" w:rsidRDefault="00781DA5" w:rsidP="002D0222">
      <w:pPr>
        <w:pStyle w:val="Heading2"/>
        <w:spacing w:before="0" w:after="0"/>
        <w:ind w:left="851" w:hanging="851"/>
      </w:pPr>
      <w:bookmarkStart w:id="13" w:name="_Toc117175561"/>
      <w:r w:rsidRPr="002A53B6">
        <w:lastRenderedPageBreak/>
        <w:t>3.0</w:t>
      </w:r>
      <w:r w:rsidR="00CB51D5" w:rsidRPr="002A53B6">
        <w:tab/>
      </w:r>
      <w:r w:rsidR="00B2157F" w:rsidRPr="002A53B6">
        <w:t>Submissions</w:t>
      </w:r>
      <w:r w:rsidR="00BB6E92" w:rsidRPr="002A53B6">
        <w:t xml:space="preserve"> by topic</w:t>
      </w:r>
      <w:bookmarkEnd w:id="13"/>
    </w:p>
    <w:p w14:paraId="197C2F20" w14:textId="77777777" w:rsidR="00822335" w:rsidRDefault="00822335" w:rsidP="002D0222">
      <w:pPr>
        <w:spacing w:after="0"/>
        <w:rPr>
          <w:rFonts w:cs="Arial"/>
          <w:lang w:val="en-AU"/>
        </w:rPr>
      </w:pPr>
    </w:p>
    <w:p w14:paraId="4C9F5C41" w14:textId="77307818" w:rsidR="00B2157F" w:rsidRPr="002A53B6" w:rsidRDefault="00FC4934" w:rsidP="002D0222">
      <w:pPr>
        <w:spacing w:after="0"/>
        <w:rPr>
          <w:rFonts w:cs="Arial"/>
          <w:lang w:val="en-AU"/>
        </w:rPr>
      </w:pPr>
      <w:r w:rsidRPr="002A53B6">
        <w:rPr>
          <w:rFonts w:cs="Arial"/>
          <w:lang w:val="en-AU"/>
        </w:rPr>
        <w:t xml:space="preserve">Information about submissions and how Council has considered and responded to submissions is provided in the tables below. </w:t>
      </w:r>
      <w:r w:rsidR="00BB6E92" w:rsidRPr="002A53B6">
        <w:rPr>
          <w:rFonts w:cs="Arial"/>
          <w:lang w:val="en-AU"/>
        </w:rPr>
        <w:t>Submissions are arranged by topic.</w:t>
      </w:r>
    </w:p>
    <w:p w14:paraId="18A30999" w14:textId="77777777" w:rsidR="00FC4934" w:rsidRPr="002A53B6" w:rsidRDefault="00FC4934" w:rsidP="002D0222">
      <w:pPr>
        <w:spacing w:after="0"/>
        <w:rPr>
          <w:rFonts w:cs="Arial"/>
          <w:lang w:val="en-AU"/>
        </w:rPr>
      </w:pPr>
    </w:p>
    <w:p w14:paraId="64961848" w14:textId="15548983" w:rsidR="000D5893" w:rsidRDefault="00781DA5" w:rsidP="002D0222">
      <w:pPr>
        <w:pStyle w:val="Heading3"/>
        <w:spacing w:after="0"/>
        <w:ind w:left="851" w:hanging="851"/>
        <w:rPr>
          <w:rFonts w:cs="Arial"/>
          <w:lang w:val="en-AU"/>
        </w:rPr>
      </w:pPr>
      <w:bookmarkStart w:id="14" w:name="_Toc117175562"/>
      <w:r w:rsidRPr="002A53B6">
        <w:rPr>
          <w:rFonts w:cs="Arial"/>
          <w:lang w:val="en-AU"/>
        </w:rPr>
        <w:t>3.1</w:t>
      </w:r>
      <w:r w:rsidR="00CB51D5" w:rsidRPr="002A53B6">
        <w:rPr>
          <w:rFonts w:cs="Arial"/>
          <w:lang w:val="en-AU"/>
        </w:rPr>
        <w:tab/>
      </w:r>
      <w:r w:rsidR="00517DE7" w:rsidRPr="002A53B6">
        <w:rPr>
          <w:rFonts w:cs="Arial"/>
          <w:lang w:val="en-AU"/>
        </w:rPr>
        <w:t>Zone changes</w:t>
      </w:r>
      <w:bookmarkEnd w:id="14"/>
    </w:p>
    <w:p w14:paraId="672C2022" w14:textId="77777777" w:rsidR="003239EB" w:rsidRPr="003239EB" w:rsidRDefault="003239EB" w:rsidP="003239EB">
      <w:pPr>
        <w:spacing w:after="0"/>
        <w:rPr>
          <w:lang w:val="en-AU"/>
        </w:rPr>
      </w:pPr>
    </w:p>
    <w:tbl>
      <w:tblPr>
        <w:tblW w:w="14459" w:type="dxa"/>
        <w:tblInd w:w="-5" w:type="dxa"/>
        <w:tblLook w:val="04E0" w:firstRow="1" w:lastRow="1" w:firstColumn="1" w:lastColumn="0" w:noHBand="0" w:noVBand="1"/>
      </w:tblPr>
      <w:tblGrid>
        <w:gridCol w:w="1667"/>
        <w:gridCol w:w="5669"/>
        <w:gridCol w:w="5669"/>
        <w:gridCol w:w="1454"/>
      </w:tblGrid>
      <w:tr w:rsidR="00B2157F" w:rsidRPr="002A53B6" w14:paraId="7593685C" w14:textId="77777777" w:rsidTr="006470FF">
        <w:trPr>
          <w:trHeight w:val="525"/>
          <w:tblHeader/>
        </w:trPr>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3753883" w14:textId="77777777" w:rsidR="00B2157F" w:rsidRPr="002A53B6" w:rsidRDefault="00B2157F" w:rsidP="002D0222">
            <w:pPr>
              <w:pStyle w:val="SubmissionTableHeadingBold"/>
              <w:spacing w:before="0" w:after="0"/>
              <w:rPr>
                <w:rFonts w:cs="Arial"/>
                <w:sz w:val="20"/>
                <w:lang w:val="en-AU"/>
              </w:rPr>
            </w:pPr>
            <w:r w:rsidRPr="002A53B6">
              <w:rPr>
                <w:rFonts w:cs="Arial"/>
                <w:sz w:val="20"/>
                <w:lang w:val="en-AU"/>
              </w:rPr>
              <w:t>Submission Reference</w:t>
            </w:r>
          </w:p>
        </w:tc>
        <w:tc>
          <w:tcPr>
            <w:tcW w:w="5669" w:type="dxa"/>
            <w:tcBorders>
              <w:top w:val="single" w:sz="4" w:space="0" w:color="auto"/>
              <w:left w:val="nil"/>
              <w:bottom w:val="single" w:sz="4" w:space="0" w:color="auto"/>
              <w:right w:val="single" w:sz="4" w:space="0" w:color="auto"/>
            </w:tcBorders>
            <w:shd w:val="clear" w:color="auto" w:fill="D9D9D9" w:themeFill="background1" w:themeFillShade="D9"/>
          </w:tcPr>
          <w:p w14:paraId="6305D1C7" w14:textId="77777777" w:rsidR="00B2157F" w:rsidRPr="002A53B6" w:rsidRDefault="00B2157F" w:rsidP="002D0222">
            <w:pPr>
              <w:pStyle w:val="SubmissionTableHeadingBold"/>
              <w:spacing w:before="0" w:after="0"/>
              <w:rPr>
                <w:rFonts w:cs="Arial"/>
                <w:sz w:val="20"/>
                <w:lang w:val="en-AU"/>
              </w:rPr>
            </w:pPr>
            <w:r w:rsidRPr="002A53B6">
              <w:rPr>
                <w:rFonts w:cs="Arial"/>
                <w:sz w:val="20"/>
                <w:lang w:val="en-AU"/>
              </w:rPr>
              <w:t>Submission Summary</w:t>
            </w:r>
          </w:p>
        </w:tc>
        <w:tc>
          <w:tcPr>
            <w:tcW w:w="5669" w:type="dxa"/>
            <w:tcBorders>
              <w:top w:val="single" w:sz="4" w:space="0" w:color="auto"/>
              <w:left w:val="nil"/>
              <w:bottom w:val="single" w:sz="4" w:space="0" w:color="auto"/>
              <w:right w:val="single" w:sz="4" w:space="0" w:color="auto"/>
            </w:tcBorders>
            <w:shd w:val="clear" w:color="auto" w:fill="D9D9D9" w:themeFill="background1" w:themeFillShade="D9"/>
          </w:tcPr>
          <w:p w14:paraId="714DB77A" w14:textId="77777777" w:rsidR="00B2157F" w:rsidRPr="002A53B6" w:rsidRDefault="00B2157F" w:rsidP="002D0222">
            <w:pPr>
              <w:pStyle w:val="SubmissionTableHeadingBold"/>
              <w:spacing w:before="0" w:after="0"/>
              <w:rPr>
                <w:rFonts w:cs="Arial"/>
                <w:sz w:val="20"/>
                <w:lang w:val="en-AU"/>
              </w:rPr>
            </w:pPr>
            <w:r w:rsidRPr="002A53B6">
              <w:rPr>
                <w:rFonts w:cs="Arial"/>
                <w:sz w:val="20"/>
                <w:lang w:val="en-AU"/>
              </w:rPr>
              <w:t>Response</w:t>
            </w:r>
          </w:p>
        </w:tc>
        <w:tc>
          <w:tcPr>
            <w:tcW w:w="1454" w:type="dxa"/>
            <w:tcBorders>
              <w:top w:val="single" w:sz="4" w:space="0" w:color="auto"/>
              <w:left w:val="nil"/>
              <w:bottom w:val="single" w:sz="4" w:space="0" w:color="auto"/>
              <w:right w:val="single" w:sz="4" w:space="0" w:color="auto"/>
            </w:tcBorders>
            <w:shd w:val="clear" w:color="auto" w:fill="D9D9D9" w:themeFill="background1" w:themeFillShade="D9"/>
          </w:tcPr>
          <w:p w14:paraId="4D84AAA5" w14:textId="77777777" w:rsidR="00B2157F" w:rsidRPr="002A53B6" w:rsidRDefault="00B2157F" w:rsidP="00D000E5">
            <w:pPr>
              <w:pStyle w:val="SubmissionTableHeadingBold"/>
              <w:spacing w:before="0" w:after="0"/>
              <w:rPr>
                <w:rFonts w:cs="Arial"/>
                <w:sz w:val="20"/>
                <w:lang w:val="en-AU"/>
              </w:rPr>
            </w:pPr>
            <w:r w:rsidRPr="002A53B6">
              <w:rPr>
                <w:rFonts w:cs="Arial"/>
                <w:sz w:val="20"/>
                <w:lang w:val="en-AU"/>
              </w:rPr>
              <w:t>Change required</w:t>
            </w:r>
          </w:p>
        </w:tc>
      </w:tr>
      <w:tr w:rsidR="00FC548D" w:rsidRPr="002A53B6" w14:paraId="2DFC3572" w14:textId="77777777" w:rsidTr="006470FF">
        <w:trPr>
          <w:trHeight w:val="6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3B02AD5D" w14:textId="7AB8E7AD" w:rsidR="00FC548D" w:rsidRPr="002A53B6" w:rsidRDefault="00FC548D" w:rsidP="002D0222">
            <w:pPr>
              <w:pStyle w:val="SubmissionTable"/>
              <w:spacing w:before="0" w:after="0"/>
              <w:rPr>
                <w:rFonts w:cs="Arial"/>
                <w:sz w:val="20"/>
                <w:lang w:val="en-AU"/>
              </w:rPr>
            </w:pPr>
            <w:r w:rsidRPr="002A53B6">
              <w:rPr>
                <w:rFonts w:cs="Arial"/>
                <w:sz w:val="20"/>
                <w:lang w:val="en-AU"/>
              </w:rPr>
              <w:t>MK-009</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110EFBD" w14:textId="0ABFEF95" w:rsidR="00FC548D" w:rsidRPr="002A53B6" w:rsidRDefault="0039027D" w:rsidP="004523AE">
            <w:pPr>
              <w:pStyle w:val="SubmissionTable"/>
              <w:spacing w:before="0" w:after="0"/>
              <w:rPr>
                <w:rFonts w:cs="Arial"/>
                <w:sz w:val="20"/>
                <w:lang w:val="en-AU"/>
              </w:rPr>
            </w:pPr>
            <w:r>
              <w:rPr>
                <w:rFonts w:cs="Arial"/>
                <w:sz w:val="20"/>
                <w:lang w:val="en-AU"/>
              </w:rPr>
              <w:t>The s</w:t>
            </w:r>
            <w:r w:rsidR="00FC548D" w:rsidRPr="002A53B6">
              <w:rPr>
                <w:rFonts w:cs="Arial"/>
                <w:sz w:val="20"/>
                <w:lang w:val="en-AU"/>
              </w:rPr>
              <w:t xml:space="preserve">ubmitter </w:t>
            </w:r>
            <w:r w:rsidR="00FC548D">
              <w:rPr>
                <w:rFonts w:cs="Arial"/>
                <w:sz w:val="20"/>
                <w:lang w:val="en-AU"/>
              </w:rPr>
              <w:t xml:space="preserve">requests the rezoning of </w:t>
            </w:r>
            <w:r w:rsidR="00FC548D" w:rsidRPr="002A53B6">
              <w:rPr>
                <w:rFonts w:cs="Arial"/>
                <w:sz w:val="20"/>
                <w:lang w:val="en-AU"/>
              </w:rPr>
              <w:t xml:space="preserve">158 </w:t>
            </w:r>
            <w:proofErr w:type="spellStart"/>
            <w:r w:rsidR="00FC548D" w:rsidRPr="002A53B6">
              <w:rPr>
                <w:rFonts w:cs="Arial"/>
                <w:sz w:val="20"/>
                <w:lang w:val="en-AU"/>
              </w:rPr>
              <w:t>Kianawah</w:t>
            </w:r>
            <w:proofErr w:type="spellEnd"/>
            <w:r w:rsidR="00FC548D" w:rsidRPr="002A53B6">
              <w:rPr>
                <w:rFonts w:cs="Arial"/>
                <w:sz w:val="20"/>
                <w:lang w:val="en-AU"/>
              </w:rPr>
              <w:t xml:space="preserve"> Road, Wynnum West (and nearby sites as appropriate)</w:t>
            </w:r>
            <w:r w:rsidR="004523AE">
              <w:rPr>
                <w:rFonts w:cs="Arial"/>
                <w:sz w:val="20"/>
                <w:lang w:val="en-AU"/>
              </w:rPr>
              <w:t>,</w:t>
            </w:r>
            <w:r w:rsidR="00FC548D">
              <w:rPr>
                <w:rFonts w:cs="Arial"/>
                <w:sz w:val="20"/>
                <w:lang w:val="en-AU"/>
              </w:rPr>
              <w:t xml:space="preserve"> from </w:t>
            </w:r>
            <w:r w:rsidR="004523AE">
              <w:rPr>
                <w:rFonts w:cs="Arial"/>
                <w:sz w:val="20"/>
                <w:lang w:val="en-AU"/>
              </w:rPr>
              <w:t xml:space="preserve">the </w:t>
            </w:r>
            <w:r w:rsidR="00FC548D">
              <w:rPr>
                <w:rFonts w:cs="Arial"/>
                <w:sz w:val="20"/>
                <w:lang w:val="en-AU"/>
              </w:rPr>
              <w:t>Emerging community zone</w:t>
            </w:r>
            <w:r w:rsidR="00FC548D" w:rsidRPr="002A53B6">
              <w:rPr>
                <w:rFonts w:cs="Arial"/>
                <w:sz w:val="20"/>
                <w:lang w:val="en-AU"/>
              </w:rPr>
              <w:t xml:space="preserve"> to the Low-medium density residential zone for the following reasons:</w:t>
            </w:r>
          </w:p>
          <w:p w14:paraId="11CA07F8" w14:textId="2154C3BB" w:rsidR="00FC548D" w:rsidRPr="002A53B6" w:rsidRDefault="00FC548D" w:rsidP="004523AE">
            <w:pPr>
              <w:pStyle w:val="SubmissionTable"/>
              <w:numPr>
                <w:ilvl w:val="0"/>
                <w:numId w:val="5"/>
              </w:numPr>
              <w:spacing w:before="0" w:after="0"/>
              <w:rPr>
                <w:rFonts w:cs="Arial"/>
                <w:sz w:val="20"/>
                <w:lang w:val="en-AU"/>
              </w:rPr>
            </w:pPr>
            <w:r>
              <w:rPr>
                <w:rFonts w:cs="Arial"/>
                <w:sz w:val="20"/>
                <w:lang w:val="en-AU"/>
              </w:rPr>
              <w:t>T</w:t>
            </w:r>
            <w:r w:rsidRPr="002A53B6">
              <w:rPr>
                <w:rFonts w:cs="Arial"/>
                <w:sz w:val="20"/>
                <w:lang w:val="en-AU"/>
              </w:rPr>
              <w:t xml:space="preserve">he Wynnum West neighbourhood plan flags the corner of </w:t>
            </w:r>
            <w:proofErr w:type="spellStart"/>
            <w:r w:rsidRPr="002A53B6">
              <w:rPr>
                <w:rFonts w:cs="Arial"/>
                <w:sz w:val="20"/>
                <w:lang w:val="en-AU"/>
              </w:rPr>
              <w:t>Kianawah</w:t>
            </w:r>
            <w:proofErr w:type="spellEnd"/>
            <w:r w:rsidRPr="002A53B6">
              <w:rPr>
                <w:rFonts w:cs="Arial"/>
                <w:sz w:val="20"/>
                <w:lang w:val="en-AU"/>
              </w:rPr>
              <w:t xml:space="preserve"> Road and Evelyn Road for a neighbourhood centre, with the surrounding area as low</w:t>
            </w:r>
            <w:r w:rsidR="004523AE">
              <w:rPr>
                <w:rFonts w:cs="Arial"/>
                <w:sz w:val="20"/>
                <w:lang w:val="en-AU"/>
              </w:rPr>
              <w:t>-</w:t>
            </w:r>
            <w:r w:rsidRPr="002A53B6">
              <w:rPr>
                <w:rFonts w:cs="Arial"/>
                <w:sz w:val="20"/>
                <w:lang w:val="en-AU"/>
              </w:rPr>
              <w:t xml:space="preserve">density residential houses and multiple dwellings. </w:t>
            </w:r>
          </w:p>
          <w:p w14:paraId="0EA07490" w14:textId="77777777" w:rsidR="00FC548D" w:rsidRPr="002A53B6" w:rsidRDefault="00FC548D" w:rsidP="004523AE">
            <w:pPr>
              <w:pStyle w:val="SubmissionTable"/>
              <w:numPr>
                <w:ilvl w:val="0"/>
                <w:numId w:val="5"/>
              </w:numPr>
              <w:spacing w:before="0" w:after="0"/>
              <w:rPr>
                <w:rFonts w:cs="Arial"/>
                <w:sz w:val="20"/>
                <w:lang w:val="en-AU"/>
              </w:rPr>
            </w:pPr>
            <w:r>
              <w:rPr>
                <w:rFonts w:cs="Arial"/>
                <w:sz w:val="20"/>
                <w:lang w:val="en-AU"/>
              </w:rPr>
              <w:t>T</w:t>
            </w:r>
            <w:r w:rsidRPr="002A53B6">
              <w:rPr>
                <w:rFonts w:cs="Arial"/>
                <w:sz w:val="20"/>
                <w:lang w:val="en-AU"/>
              </w:rPr>
              <w:t xml:space="preserve">he site has been approved for residential subdivision (A005017936). </w:t>
            </w:r>
          </w:p>
          <w:p w14:paraId="3CA46605" w14:textId="2A786B7F" w:rsidR="00FC548D" w:rsidRPr="002A53B6" w:rsidRDefault="00FC548D" w:rsidP="004523AE">
            <w:pPr>
              <w:pStyle w:val="SubmissionTable"/>
              <w:numPr>
                <w:ilvl w:val="0"/>
                <w:numId w:val="5"/>
              </w:numPr>
              <w:spacing w:before="0" w:after="0"/>
              <w:rPr>
                <w:rFonts w:cs="Arial"/>
                <w:sz w:val="20"/>
                <w:lang w:val="en-AU"/>
              </w:rPr>
            </w:pPr>
            <w:r w:rsidRPr="002A53B6">
              <w:rPr>
                <w:rFonts w:cs="Arial"/>
                <w:sz w:val="20"/>
                <w:lang w:val="en-AU"/>
              </w:rPr>
              <w:t xml:space="preserve">City Plan no longer supports multiple dwellings in the </w:t>
            </w:r>
            <w:proofErr w:type="gramStart"/>
            <w:r w:rsidRPr="002A53B6">
              <w:rPr>
                <w:rFonts w:cs="Arial"/>
                <w:sz w:val="20"/>
                <w:lang w:val="en-AU"/>
              </w:rPr>
              <w:t>Low density</w:t>
            </w:r>
            <w:proofErr w:type="gramEnd"/>
            <w:r w:rsidRPr="002A53B6">
              <w:rPr>
                <w:rFonts w:cs="Arial"/>
                <w:sz w:val="20"/>
                <w:lang w:val="en-AU"/>
              </w:rPr>
              <w:t xml:space="preserve"> residential zone, </w:t>
            </w:r>
            <w:r>
              <w:rPr>
                <w:rFonts w:cs="Arial"/>
                <w:sz w:val="20"/>
                <w:lang w:val="en-AU"/>
              </w:rPr>
              <w:t xml:space="preserve">therefore </w:t>
            </w:r>
            <w:r w:rsidRPr="002A53B6">
              <w:rPr>
                <w:rFonts w:cs="Arial"/>
                <w:sz w:val="20"/>
                <w:lang w:val="en-AU"/>
              </w:rPr>
              <w:t>the description in the neighbourhood plan is most consistent with a Low</w:t>
            </w:r>
            <w:r w:rsidR="006470FF">
              <w:rPr>
                <w:rFonts w:cs="Arial"/>
                <w:sz w:val="20"/>
                <w:lang w:val="en-AU"/>
              </w:rPr>
              <w:noBreakHyphen/>
            </w:r>
            <w:r w:rsidRPr="002A53B6">
              <w:rPr>
                <w:rFonts w:cs="Arial"/>
                <w:sz w:val="20"/>
                <w:lang w:val="en-AU"/>
              </w:rPr>
              <w:t>medium density residential zone (LMR1 or LMR2).</w:t>
            </w:r>
          </w:p>
          <w:p w14:paraId="09EAA004" w14:textId="45C3D351" w:rsidR="00FC548D" w:rsidRPr="002A53B6" w:rsidRDefault="00FC548D" w:rsidP="004523AE">
            <w:pPr>
              <w:pStyle w:val="SubmissionTable"/>
              <w:numPr>
                <w:ilvl w:val="0"/>
                <w:numId w:val="5"/>
              </w:numPr>
              <w:spacing w:before="0" w:after="0"/>
              <w:rPr>
                <w:rFonts w:cs="Arial"/>
                <w:sz w:val="20"/>
                <w:lang w:val="en-AU"/>
              </w:rPr>
            </w:pPr>
            <w:r>
              <w:rPr>
                <w:rFonts w:cs="Arial"/>
                <w:sz w:val="20"/>
                <w:lang w:val="en-AU"/>
              </w:rPr>
              <w:t>H</w:t>
            </w:r>
            <w:r w:rsidRPr="002A53B6">
              <w:rPr>
                <w:rFonts w:cs="Arial"/>
                <w:sz w:val="20"/>
                <w:lang w:val="en-AU"/>
              </w:rPr>
              <w:t xml:space="preserve">igher residential density surrounding a neighbourhood centre is a desirable outcome and </w:t>
            </w:r>
            <w:r w:rsidR="004523AE">
              <w:rPr>
                <w:rFonts w:cs="Arial"/>
                <w:sz w:val="20"/>
                <w:lang w:val="en-AU"/>
              </w:rPr>
              <w:t xml:space="preserve">is </w:t>
            </w:r>
            <w:r w:rsidRPr="002A53B6">
              <w:rPr>
                <w:rFonts w:cs="Arial"/>
                <w:sz w:val="20"/>
                <w:lang w:val="en-AU"/>
              </w:rPr>
              <w:t>reflected in the land use strategy of the neighbourhood plan.</w:t>
            </w:r>
          </w:p>
          <w:p w14:paraId="1D04CD7F" w14:textId="77777777" w:rsidR="000433F3" w:rsidRDefault="000433F3" w:rsidP="004523AE">
            <w:pPr>
              <w:spacing w:after="0"/>
              <w:rPr>
                <w:rFonts w:cs="Arial"/>
                <w:lang w:val="en-AU"/>
              </w:rPr>
            </w:pPr>
          </w:p>
          <w:p w14:paraId="70C1A76B" w14:textId="720C1305" w:rsidR="000433F3" w:rsidRPr="00FF5F51" w:rsidRDefault="00FC548D" w:rsidP="004523AE">
            <w:pPr>
              <w:spacing w:after="0"/>
              <w:rPr>
                <w:rFonts w:cs="Arial"/>
                <w:lang w:val="en-AU"/>
              </w:rPr>
            </w:pPr>
            <w:r>
              <w:rPr>
                <w:rFonts w:cs="Arial"/>
                <w:lang w:val="en-AU"/>
              </w:rPr>
              <w:t>T</w:t>
            </w:r>
            <w:r w:rsidRPr="002A53B6">
              <w:rPr>
                <w:rFonts w:cs="Arial"/>
                <w:lang w:val="en-AU"/>
              </w:rPr>
              <w:t>he subject site is no longer consistent with the purpose of the Emerging community zone considering development that has occurred.</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A3C58CC" w14:textId="77777777" w:rsidR="00480DD8" w:rsidRDefault="00FC548D" w:rsidP="002D0222">
            <w:pPr>
              <w:spacing w:after="0"/>
              <w:rPr>
                <w:lang w:val="en-AU"/>
              </w:rPr>
            </w:pPr>
            <w:r w:rsidRPr="00E51D32">
              <w:rPr>
                <w:lang w:val="en-AU"/>
              </w:rPr>
              <w:t xml:space="preserve">The Wynnum West </w:t>
            </w:r>
            <w:r w:rsidR="00303E38">
              <w:rPr>
                <w:lang w:val="en-AU"/>
              </w:rPr>
              <w:t>n</w:t>
            </w:r>
            <w:r w:rsidRPr="00E51D32">
              <w:rPr>
                <w:lang w:val="en-AU"/>
              </w:rPr>
              <w:t xml:space="preserve">eighbourhood </w:t>
            </w:r>
            <w:r w:rsidR="00303E38">
              <w:rPr>
                <w:lang w:val="en-AU"/>
              </w:rPr>
              <w:t>p</w:t>
            </w:r>
            <w:r w:rsidRPr="00E51D32">
              <w:rPr>
                <w:lang w:val="en-AU"/>
              </w:rPr>
              <w:t>lan supports the retention of the Emerging community zone to provide Council and the community the opportunity to assess potential impacts of any future multiple dwelling applications.</w:t>
            </w:r>
            <w:r>
              <w:rPr>
                <w:lang w:val="en-AU"/>
              </w:rPr>
              <w:t xml:space="preserve"> </w:t>
            </w:r>
          </w:p>
          <w:p w14:paraId="6B5A45A0" w14:textId="77777777" w:rsidR="00480DD8" w:rsidRDefault="00480DD8" w:rsidP="002D0222">
            <w:pPr>
              <w:spacing w:after="0"/>
              <w:rPr>
                <w:lang w:val="en-AU"/>
              </w:rPr>
            </w:pPr>
          </w:p>
          <w:p w14:paraId="50409D85" w14:textId="02C474EE" w:rsidR="00FC548D" w:rsidRDefault="00FC548D" w:rsidP="002D0222">
            <w:pPr>
              <w:spacing w:after="0"/>
              <w:rPr>
                <w:lang w:val="en-AU"/>
              </w:rPr>
            </w:pPr>
            <w:r>
              <w:rPr>
                <w:lang w:val="en-AU"/>
              </w:rPr>
              <w:t>No changes are</w:t>
            </w:r>
            <w:r w:rsidR="00480DD8">
              <w:rPr>
                <w:lang w:val="en-AU"/>
              </w:rPr>
              <w:t xml:space="preserve"> proposed</w:t>
            </w:r>
            <w:r>
              <w:rPr>
                <w:lang w:val="en-AU"/>
              </w:rPr>
              <w:t xml:space="preserve"> to the </w:t>
            </w:r>
            <w:proofErr w:type="gramStart"/>
            <w:r>
              <w:rPr>
                <w:lang w:val="en-AU"/>
              </w:rPr>
              <w:t>site</w:t>
            </w:r>
            <w:r w:rsidR="006470FF">
              <w:rPr>
                <w:lang w:val="en-AU"/>
              </w:rPr>
              <w:t>’</w:t>
            </w:r>
            <w:r w:rsidR="004523AE">
              <w:rPr>
                <w:lang w:val="en-AU"/>
              </w:rPr>
              <w:t>s</w:t>
            </w:r>
            <w:proofErr w:type="gramEnd"/>
            <w:r w:rsidR="00DF6FC1">
              <w:rPr>
                <w:lang w:val="en-AU"/>
              </w:rPr>
              <w:t xml:space="preserve"> or surrounding area</w:t>
            </w:r>
            <w:r>
              <w:rPr>
                <w:lang w:val="en-AU"/>
              </w:rPr>
              <w:t>’s zoning</w:t>
            </w:r>
            <w:r w:rsidR="00480DD8">
              <w:rPr>
                <w:lang w:val="en-AU"/>
              </w:rPr>
              <w:t xml:space="preserve"> as part of this</w:t>
            </w:r>
            <w:r w:rsidR="00FF5F51">
              <w:rPr>
                <w:lang w:val="en-AU"/>
              </w:rPr>
              <w:t xml:space="preserve"> submission review</w:t>
            </w:r>
            <w:r>
              <w:rPr>
                <w:lang w:val="en-AU"/>
              </w:rPr>
              <w:t>.</w:t>
            </w:r>
            <w:r w:rsidR="00DF6FC1">
              <w:rPr>
                <w:lang w:val="en-AU"/>
              </w:rPr>
              <w:t xml:space="preserve"> Future changes to zoning may occur where development approvals have been enacted.</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59E7D5A6" w14:textId="2257C665" w:rsidR="00FC548D" w:rsidRPr="001749A7" w:rsidRDefault="00FC548D" w:rsidP="00D000E5">
            <w:pPr>
              <w:pStyle w:val="SubmissionTable"/>
              <w:spacing w:before="0" w:after="0"/>
              <w:rPr>
                <w:rFonts w:cs="Arial"/>
                <w:sz w:val="20"/>
                <w:lang w:val="en-AU"/>
              </w:rPr>
            </w:pPr>
            <w:r w:rsidRPr="002A53B6">
              <w:rPr>
                <w:rFonts w:cs="Arial"/>
                <w:sz w:val="20"/>
                <w:lang w:val="en-AU"/>
              </w:rPr>
              <w:t>No change</w:t>
            </w:r>
          </w:p>
        </w:tc>
      </w:tr>
      <w:tr w:rsidR="001F60D0" w:rsidRPr="002A53B6" w14:paraId="0E625B19" w14:textId="77777777" w:rsidTr="006470FF">
        <w:trPr>
          <w:trHeight w:val="8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483F7536" w14:textId="3077D9CD" w:rsidR="006014EA" w:rsidRPr="002A53B6" w:rsidRDefault="00897840" w:rsidP="002D0222">
            <w:pPr>
              <w:pStyle w:val="SubmissionTable"/>
              <w:spacing w:before="0" w:after="0"/>
              <w:rPr>
                <w:rFonts w:cs="Arial"/>
                <w:sz w:val="20"/>
                <w:lang w:val="en-AU"/>
              </w:rPr>
            </w:pPr>
            <w:r w:rsidRPr="002A53B6">
              <w:rPr>
                <w:rFonts w:cs="Arial"/>
                <w:sz w:val="20"/>
                <w:lang w:val="en-AU"/>
              </w:rPr>
              <w:t>MK-010</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58070A8" w14:textId="661EA07D" w:rsidR="001F60D0" w:rsidRPr="002A53B6" w:rsidRDefault="0039027D" w:rsidP="002D0222">
            <w:pPr>
              <w:spacing w:after="0"/>
              <w:rPr>
                <w:rFonts w:cs="Arial"/>
                <w:lang w:val="en-AU"/>
              </w:rPr>
            </w:pPr>
            <w:r>
              <w:rPr>
                <w:lang w:val="en-AU"/>
              </w:rPr>
              <w:t>The s</w:t>
            </w:r>
            <w:r w:rsidR="00122278" w:rsidRPr="00487F76">
              <w:rPr>
                <w:lang w:val="en-AU"/>
              </w:rPr>
              <w:t xml:space="preserve">ubmitter </w:t>
            </w:r>
            <w:r w:rsidR="009F032D">
              <w:rPr>
                <w:lang w:val="en-AU"/>
              </w:rPr>
              <w:t xml:space="preserve">supports </w:t>
            </w:r>
            <w:r w:rsidR="001E0F18">
              <w:rPr>
                <w:lang w:val="en-AU"/>
              </w:rPr>
              <w:t>the proposed rezoning of 118</w:t>
            </w:r>
            <w:r w:rsidR="004523AE">
              <w:rPr>
                <w:lang w:val="en-AU"/>
              </w:rPr>
              <w:t> </w:t>
            </w:r>
            <w:r w:rsidR="001E0F18">
              <w:rPr>
                <w:lang w:val="en-AU"/>
              </w:rPr>
              <w:t>Padstow Road, Eight Mile Plains</w:t>
            </w:r>
            <w:r w:rsidR="004523AE">
              <w:rPr>
                <w:lang w:val="en-AU"/>
              </w:rPr>
              <w:t>,</w:t>
            </w:r>
            <w:r w:rsidR="001E0F18">
              <w:rPr>
                <w:lang w:val="en-AU"/>
              </w:rPr>
              <w:t xml:space="preserve"> (</w:t>
            </w:r>
            <w:r w:rsidR="001E0F18" w:rsidRPr="00487F76">
              <w:rPr>
                <w:lang w:val="en-AU"/>
              </w:rPr>
              <w:t>Lots 64 and 65 on RP905173</w:t>
            </w:r>
            <w:r w:rsidR="001E0F18">
              <w:rPr>
                <w:lang w:val="en-AU"/>
              </w:rPr>
              <w:t xml:space="preserve">) from </w:t>
            </w:r>
            <w:r w:rsidR="004523AE">
              <w:rPr>
                <w:lang w:val="en-AU"/>
              </w:rPr>
              <w:t xml:space="preserve">the </w:t>
            </w:r>
            <w:r w:rsidR="001E0F18">
              <w:rPr>
                <w:lang w:val="en-AU"/>
              </w:rPr>
              <w:t xml:space="preserve">Emerging community zone to </w:t>
            </w:r>
            <w:r w:rsidR="004523AE">
              <w:rPr>
                <w:lang w:val="en-AU"/>
              </w:rPr>
              <w:t xml:space="preserve">the </w:t>
            </w:r>
            <w:proofErr w:type="gramStart"/>
            <w:r w:rsidR="001E0F18">
              <w:rPr>
                <w:lang w:val="en-AU"/>
              </w:rPr>
              <w:t>Low density</w:t>
            </w:r>
            <w:proofErr w:type="gramEnd"/>
            <w:r w:rsidR="001E0F18">
              <w:rPr>
                <w:lang w:val="en-AU"/>
              </w:rPr>
              <w:t xml:space="preserve"> residential zone. </w:t>
            </w:r>
            <w:r w:rsidR="00EA3A3C">
              <w:rPr>
                <w:lang w:val="en-AU"/>
              </w:rPr>
              <w:t>The s</w:t>
            </w:r>
            <w:r w:rsidR="001E0F18">
              <w:rPr>
                <w:lang w:val="en-AU"/>
              </w:rPr>
              <w:t xml:space="preserve">ubmitter notes </w:t>
            </w:r>
            <w:r w:rsidR="004523AE">
              <w:rPr>
                <w:lang w:val="en-AU"/>
              </w:rPr>
              <w:t xml:space="preserve">that </w:t>
            </w:r>
            <w:r w:rsidR="001E0F18">
              <w:rPr>
                <w:lang w:val="en-AU"/>
              </w:rPr>
              <w:t xml:space="preserve">there is </w:t>
            </w:r>
            <w:r w:rsidR="00122278" w:rsidRPr="00487F76">
              <w:rPr>
                <w:lang w:val="en-AU"/>
              </w:rPr>
              <w:t xml:space="preserve">an inconsistency in the proposed zoning </w:t>
            </w:r>
            <w:r w:rsidR="00C455B8">
              <w:rPr>
                <w:lang w:val="en-AU"/>
              </w:rPr>
              <w:t>map</w:t>
            </w:r>
            <w:r w:rsidR="00122278" w:rsidRPr="00487F76">
              <w:rPr>
                <w:lang w:val="en-AU"/>
              </w:rPr>
              <w:t xml:space="preserve"> in the amendment</w:t>
            </w:r>
            <w:r w:rsidR="00C455B8">
              <w:rPr>
                <w:lang w:val="en-AU"/>
              </w:rPr>
              <w:t xml:space="preserve"> package</w:t>
            </w:r>
            <w:r w:rsidR="00122278" w:rsidRPr="00487F76">
              <w:rPr>
                <w:lang w:val="en-AU"/>
              </w:rPr>
              <w:t xml:space="preserve">, </w:t>
            </w:r>
            <w:r w:rsidR="001E0F18">
              <w:rPr>
                <w:lang w:val="en-AU"/>
              </w:rPr>
              <w:t xml:space="preserve">with </w:t>
            </w:r>
            <w:r w:rsidR="00122278" w:rsidRPr="00487F76">
              <w:rPr>
                <w:lang w:val="en-AU"/>
              </w:rPr>
              <w:t xml:space="preserve">only Lot 64 </w:t>
            </w:r>
            <w:r w:rsidR="001E0F18">
              <w:rPr>
                <w:lang w:val="en-AU"/>
              </w:rPr>
              <w:t>showing as</w:t>
            </w:r>
            <w:r w:rsidR="00122278" w:rsidRPr="00487F76">
              <w:rPr>
                <w:lang w:val="en-AU"/>
              </w:rPr>
              <w:t xml:space="preserve"> changed on the zone map. </w:t>
            </w:r>
            <w:r w:rsidR="00EA3A3C">
              <w:rPr>
                <w:lang w:val="en-AU"/>
              </w:rPr>
              <w:t>The s</w:t>
            </w:r>
            <w:r w:rsidR="001E0F18">
              <w:rPr>
                <w:lang w:val="en-AU"/>
              </w:rPr>
              <w:t>ubmitter r</w:t>
            </w:r>
            <w:r w:rsidR="00122278" w:rsidRPr="00487F76">
              <w:rPr>
                <w:lang w:val="en-AU"/>
              </w:rPr>
              <w:t>equest</w:t>
            </w:r>
            <w:r w:rsidR="001E0F18">
              <w:rPr>
                <w:lang w:val="en-AU"/>
              </w:rPr>
              <w:t xml:space="preserve">s </w:t>
            </w:r>
            <w:r w:rsidR="004523AE">
              <w:rPr>
                <w:lang w:val="en-AU"/>
              </w:rPr>
              <w:t xml:space="preserve">that </w:t>
            </w:r>
            <w:r w:rsidR="00122278" w:rsidRPr="00487F76">
              <w:rPr>
                <w:lang w:val="en-AU"/>
              </w:rPr>
              <w:t xml:space="preserve">the zone map be changed to identify both Lot 64 and Lot 65 in the </w:t>
            </w:r>
            <w:proofErr w:type="gramStart"/>
            <w:r w:rsidR="00122278" w:rsidRPr="00487F76">
              <w:rPr>
                <w:lang w:val="en-AU"/>
              </w:rPr>
              <w:t>Low density</w:t>
            </w:r>
            <w:proofErr w:type="gramEnd"/>
            <w:r w:rsidR="00122278" w:rsidRPr="00487F76">
              <w:rPr>
                <w:lang w:val="en-AU"/>
              </w:rPr>
              <w:t xml:space="preserve"> residential zone.</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56966FD4" w14:textId="3E9BA539" w:rsidR="00D42E38" w:rsidRDefault="00EF31B5" w:rsidP="002D0222">
            <w:pPr>
              <w:spacing w:after="0"/>
              <w:rPr>
                <w:lang w:val="en-AU"/>
              </w:rPr>
            </w:pPr>
            <w:r>
              <w:rPr>
                <w:lang w:val="en-AU"/>
              </w:rPr>
              <w:t xml:space="preserve">The proposed </w:t>
            </w:r>
            <w:r w:rsidR="00DC5119">
              <w:rPr>
                <w:lang w:val="en-AU"/>
              </w:rPr>
              <w:t xml:space="preserve">zoning change from </w:t>
            </w:r>
            <w:r w:rsidR="004523AE">
              <w:rPr>
                <w:lang w:val="en-AU"/>
              </w:rPr>
              <w:t xml:space="preserve">the </w:t>
            </w:r>
            <w:r w:rsidR="00DC5119">
              <w:rPr>
                <w:lang w:val="en-AU"/>
              </w:rPr>
              <w:t xml:space="preserve">Emerging community zone to </w:t>
            </w:r>
            <w:r w:rsidR="004523AE">
              <w:rPr>
                <w:lang w:val="en-AU"/>
              </w:rPr>
              <w:t xml:space="preserve">the </w:t>
            </w:r>
            <w:proofErr w:type="gramStart"/>
            <w:r w:rsidR="00DC5119">
              <w:rPr>
                <w:lang w:val="en-AU"/>
              </w:rPr>
              <w:t>Low density</w:t>
            </w:r>
            <w:proofErr w:type="gramEnd"/>
            <w:r w:rsidR="00DC5119">
              <w:rPr>
                <w:lang w:val="en-AU"/>
              </w:rPr>
              <w:t xml:space="preserve"> residential zone w</w:t>
            </w:r>
            <w:r w:rsidR="00922238">
              <w:rPr>
                <w:lang w:val="en-AU"/>
              </w:rPr>
              <w:t>as</w:t>
            </w:r>
            <w:r w:rsidR="00DC5119">
              <w:rPr>
                <w:lang w:val="en-AU"/>
              </w:rPr>
              <w:t xml:space="preserve"> </w:t>
            </w:r>
            <w:r w:rsidR="00C34C14">
              <w:rPr>
                <w:lang w:val="en-AU"/>
              </w:rPr>
              <w:t xml:space="preserve">initiated by Council </w:t>
            </w:r>
            <w:r w:rsidR="00EA3A3C">
              <w:rPr>
                <w:lang w:val="en-AU"/>
              </w:rPr>
              <w:t>as an action from</w:t>
            </w:r>
            <w:r w:rsidR="00123E46">
              <w:rPr>
                <w:lang w:val="en-AU"/>
              </w:rPr>
              <w:t xml:space="preserve"> </w:t>
            </w:r>
            <w:r w:rsidR="00123E46" w:rsidRPr="00123E46">
              <w:rPr>
                <w:i/>
                <w:iCs/>
                <w:lang w:val="en-AU"/>
              </w:rPr>
              <w:t>Brisbane’s Future Blueprint</w:t>
            </w:r>
            <w:r w:rsidR="00D42E38">
              <w:rPr>
                <w:i/>
                <w:iCs/>
                <w:lang w:val="en-AU"/>
              </w:rPr>
              <w:t xml:space="preserve"> </w:t>
            </w:r>
            <w:r w:rsidR="00D42E38" w:rsidRPr="00D42E38">
              <w:rPr>
                <w:lang w:val="en-AU"/>
              </w:rPr>
              <w:t>(BFP)</w:t>
            </w:r>
            <w:r w:rsidR="004449A7">
              <w:rPr>
                <w:lang w:val="en-AU"/>
              </w:rPr>
              <w:t xml:space="preserve"> </w:t>
            </w:r>
            <w:r w:rsidR="009A57AB" w:rsidRPr="00D42E38">
              <w:rPr>
                <w:lang w:val="en-AU"/>
              </w:rPr>
              <w:t>-</w:t>
            </w:r>
          </w:p>
          <w:p w14:paraId="3A452DD5" w14:textId="2D786093" w:rsidR="0086238D" w:rsidRPr="0086238D" w:rsidRDefault="0086238D" w:rsidP="002D0222">
            <w:pPr>
              <w:spacing w:after="0"/>
              <w:rPr>
                <w:i/>
                <w:iCs/>
              </w:rPr>
            </w:pPr>
            <w:r w:rsidRPr="003C19A7">
              <w:rPr>
                <w:i/>
                <w:iCs/>
              </w:rPr>
              <w:t>Ensure that suburban development fits in with its surroundings. Audit Emerging Community land and rezone to Low Density Residential land where appropriate.</w:t>
            </w:r>
          </w:p>
          <w:p w14:paraId="4C21DF4B" w14:textId="77777777" w:rsidR="0076693E" w:rsidRDefault="0076693E" w:rsidP="002D0222">
            <w:pPr>
              <w:spacing w:after="0"/>
              <w:rPr>
                <w:lang w:val="en-AU"/>
              </w:rPr>
            </w:pPr>
          </w:p>
          <w:p w14:paraId="631D7200" w14:textId="546BF1A3" w:rsidR="004E4382" w:rsidRDefault="004E4382" w:rsidP="002D0222">
            <w:pPr>
              <w:spacing w:after="0"/>
              <w:rPr>
                <w:lang w:val="en-AU"/>
              </w:rPr>
            </w:pPr>
            <w:r>
              <w:rPr>
                <w:lang w:val="en-AU"/>
              </w:rPr>
              <w:t>The</w:t>
            </w:r>
            <w:r w:rsidRPr="009E0412">
              <w:rPr>
                <w:lang w:val="en-AU"/>
              </w:rPr>
              <w:t xml:space="preserve"> audit </w:t>
            </w:r>
            <w:r>
              <w:rPr>
                <w:lang w:val="en-AU"/>
              </w:rPr>
              <w:t xml:space="preserve">assessed the suitability of lots changing from the Emerging community zone to the </w:t>
            </w:r>
            <w:proofErr w:type="gramStart"/>
            <w:r>
              <w:rPr>
                <w:lang w:val="en-AU"/>
              </w:rPr>
              <w:t>Low density</w:t>
            </w:r>
            <w:proofErr w:type="gramEnd"/>
            <w:r>
              <w:rPr>
                <w:lang w:val="en-AU"/>
              </w:rPr>
              <w:t xml:space="preserve"> residential </w:t>
            </w:r>
            <w:r>
              <w:rPr>
                <w:lang w:val="en-AU"/>
              </w:rPr>
              <w:lastRenderedPageBreak/>
              <w:t>zone against factors such as whether or not the area is in a neighbourhood plan and the number and types of constraints.</w:t>
            </w:r>
          </w:p>
          <w:p w14:paraId="2FA66D78" w14:textId="77777777" w:rsidR="0076693E" w:rsidRDefault="0076693E" w:rsidP="002D0222">
            <w:pPr>
              <w:spacing w:after="0"/>
              <w:rPr>
                <w:lang w:val="en-AU"/>
              </w:rPr>
            </w:pPr>
          </w:p>
          <w:p w14:paraId="6B6EC747" w14:textId="6FA2A5E5" w:rsidR="000433F3" w:rsidRPr="00FF5F51" w:rsidRDefault="009A57AB" w:rsidP="002D0222">
            <w:pPr>
              <w:spacing w:after="0"/>
              <w:rPr>
                <w:lang w:val="en-AU"/>
              </w:rPr>
            </w:pPr>
            <w:r>
              <w:rPr>
                <w:lang w:val="en-AU"/>
              </w:rPr>
              <w:t xml:space="preserve">On review of the audit findings, </w:t>
            </w:r>
            <w:r w:rsidR="00D85D0A" w:rsidRPr="00464953">
              <w:rPr>
                <w:lang w:val="en-AU"/>
              </w:rPr>
              <w:t>it</w:t>
            </w:r>
            <w:r w:rsidR="00287DB4">
              <w:rPr>
                <w:lang w:val="en-AU"/>
              </w:rPr>
              <w:t xml:space="preserve"> </w:t>
            </w:r>
            <w:r>
              <w:rPr>
                <w:lang w:val="en-AU"/>
              </w:rPr>
              <w:t xml:space="preserve">is considered </w:t>
            </w:r>
            <w:r w:rsidR="004523AE">
              <w:rPr>
                <w:lang w:val="en-AU"/>
              </w:rPr>
              <w:t xml:space="preserve">that </w:t>
            </w:r>
            <w:r>
              <w:rPr>
                <w:lang w:val="en-AU"/>
              </w:rPr>
              <w:t xml:space="preserve">Lot 65 </w:t>
            </w:r>
            <w:r w:rsidR="006470FF">
              <w:rPr>
                <w:lang w:val="en-AU"/>
              </w:rPr>
              <w:t xml:space="preserve">on RP905173 </w:t>
            </w:r>
            <w:r>
              <w:rPr>
                <w:lang w:val="en-AU"/>
              </w:rPr>
              <w:t xml:space="preserve">should also be included in the changes from </w:t>
            </w:r>
            <w:r w:rsidR="004E4382">
              <w:rPr>
                <w:lang w:val="en-AU"/>
              </w:rPr>
              <w:t xml:space="preserve">the </w:t>
            </w:r>
            <w:r>
              <w:rPr>
                <w:lang w:val="en-AU"/>
              </w:rPr>
              <w:t xml:space="preserve">Emerging community zone to </w:t>
            </w:r>
            <w:r w:rsidR="004E4382">
              <w:rPr>
                <w:lang w:val="en-AU"/>
              </w:rPr>
              <w:t xml:space="preserve">the </w:t>
            </w:r>
            <w:proofErr w:type="gramStart"/>
            <w:r>
              <w:rPr>
                <w:lang w:val="en-AU"/>
              </w:rPr>
              <w:t>Low density</w:t>
            </w:r>
            <w:proofErr w:type="gramEnd"/>
            <w:r>
              <w:rPr>
                <w:lang w:val="en-AU"/>
              </w:rPr>
              <w:t xml:space="preserve"> residential zone</w:t>
            </w:r>
            <w:r w:rsidR="004E4382">
              <w:rPr>
                <w:lang w:val="en-AU"/>
              </w:rPr>
              <w:t>.</w:t>
            </w:r>
            <w:r>
              <w:rPr>
                <w:lang w:val="en-AU"/>
              </w:rPr>
              <w:t xml:space="preserve"> </w:t>
            </w:r>
            <w:r w:rsidR="00EF25B4" w:rsidRPr="00464953">
              <w:rPr>
                <w:lang w:val="en-AU"/>
              </w:rPr>
              <w:t xml:space="preserve">The </w:t>
            </w:r>
            <w:r w:rsidR="00F25D5F" w:rsidRPr="00464953">
              <w:rPr>
                <w:lang w:val="en-AU"/>
              </w:rPr>
              <w:t xml:space="preserve">zone map </w:t>
            </w:r>
            <w:r>
              <w:rPr>
                <w:lang w:val="en-AU"/>
              </w:rPr>
              <w:t>is proposed to be</w:t>
            </w:r>
            <w:r w:rsidR="00F25D5F" w:rsidRPr="00464953">
              <w:rPr>
                <w:lang w:val="en-AU"/>
              </w:rPr>
              <w:t xml:space="preserve"> amended</w:t>
            </w:r>
            <w:r w:rsidR="001E0F18">
              <w:rPr>
                <w:lang w:val="en-AU"/>
              </w:rPr>
              <w:t xml:space="preserve"> to include </w:t>
            </w:r>
            <w:r w:rsidR="004E4382">
              <w:rPr>
                <w:lang w:val="en-AU"/>
              </w:rPr>
              <w:t xml:space="preserve">Lot 65 </w:t>
            </w:r>
            <w:r w:rsidR="006470FF">
              <w:rPr>
                <w:lang w:val="en-AU"/>
              </w:rPr>
              <w:t xml:space="preserve">on </w:t>
            </w:r>
            <w:r w:rsidR="004E4382">
              <w:rPr>
                <w:lang w:val="en-AU"/>
              </w:rPr>
              <w:t>RP905173</w:t>
            </w:r>
            <w:r w:rsidR="001E0F18">
              <w:rPr>
                <w:lang w:val="en-AU"/>
              </w:rPr>
              <w:t xml:space="preserve"> in the </w:t>
            </w:r>
            <w:proofErr w:type="gramStart"/>
            <w:r w:rsidR="001E0F18">
              <w:rPr>
                <w:lang w:val="en-AU"/>
              </w:rPr>
              <w:t>Low density</w:t>
            </w:r>
            <w:proofErr w:type="gramEnd"/>
            <w:r w:rsidR="001E0F18">
              <w:rPr>
                <w:lang w:val="en-AU"/>
              </w:rPr>
              <w:t xml:space="preserve"> residential zone</w:t>
            </w:r>
            <w:r w:rsidR="00820EED">
              <w:rPr>
                <w:lang w:val="en-AU"/>
              </w:rPr>
              <w:t xml:space="preserve"> and also in the Dwelling house character overlay</w:t>
            </w:r>
            <w:r w:rsidR="009041F2">
              <w:rPr>
                <w:lang w:val="en-AU"/>
              </w:rPr>
              <w:t>.</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13DFDE5D" w14:textId="7E1E8F3B" w:rsidR="001F60D0" w:rsidRPr="002A53B6" w:rsidRDefault="00122278" w:rsidP="00D000E5">
            <w:pPr>
              <w:pStyle w:val="SubmissionTable"/>
              <w:spacing w:before="0" w:after="0"/>
              <w:rPr>
                <w:rFonts w:cs="Arial"/>
                <w:sz w:val="20"/>
                <w:lang w:val="en-AU"/>
              </w:rPr>
            </w:pPr>
            <w:r w:rsidRPr="001749A7">
              <w:rPr>
                <w:rFonts w:cs="Arial"/>
                <w:sz w:val="20"/>
                <w:lang w:val="en-AU"/>
              </w:rPr>
              <w:lastRenderedPageBreak/>
              <w:t>C</w:t>
            </w:r>
            <w:r w:rsidR="00040A9A" w:rsidRPr="001749A7">
              <w:rPr>
                <w:rFonts w:cs="Arial"/>
                <w:sz w:val="20"/>
                <w:lang w:val="en-AU"/>
              </w:rPr>
              <w:t>hange</w:t>
            </w:r>
          </w:p>
        </w:tc>
      </w:tr>
      <w:tr w:rsidR="00D94E54" w:rsidRPr="002A53B6" w14:paraId="33846803" w14:textId="77777777" w:rsidTr="00D7220D">
        <w:trPr>
          <w:trHeight w:val="8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7991D476" w14:textId="77777777" w:rsidR="00D94E54" w:rsidRPr="002A53B6" w:rsidRDefault="00D94E54" w:rsidP="002D0222">
            <w:pPr>
              <w:pStyle w:val="SubmissionTable"/>
              <w:spacing w:before="0" w:after="0"/>
              <w:rPr>
                <w:rFonts w:cs="Arial"/>
                <w:sz w:val="20"/>
                <w:lang w:val="en-AU"/>
              </w:rPr>
            </w:pPr>
            <w:r w:rsidRPr="004824DF">
              <w:rPr>
                <w:rFonts w:cs="Arial"/>
                <w:sz w:val="20"/>
                <w:lang w:val="en-AU"/>
              </w:rPr>
              <w:t>MK-029</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A90B1B8" w14:textId="12DDD496" w:rsidR="00D94E54" w:rsidRPr="004824DF" w:rsidRDefault="0039027D" w:rsidP="004523AE">
            <w:pPr>
              <w:spacing w:after="0"/>
              <w:rPr>
                <w:lang w:val="en-AU"/>
              </w:rPr>
            </w:pPr>
            <w:r>
              <w:rPr>
                <w:lang w:val="en-AU"/>
              </w:rPr>
              <w:t>The s</w:t>
            </w:r>
            <w:r w:rsidR="00D94E54" w:rsidRPr="004824DF">
              <w:rPr>
                <w:lang w:val="en-AU"/>
              </w:rPr>
              <w:t>ubmitter opposes the proposed rezoning of 48 Scenic Road, Kenmore</w:t>
            </w:r>
            <w:r w:rsidR="004523AE">
              <w:rPr>
                <w:lang w:val="en-AU"/>
              </w:rPr>
              <w:t>,</w:t>
            </w:r>
            <w:r w:rsidR="00D94E54" w:rsidRPr="004824DF">
              <w:rPr>
                <w:lang w:val="en-AU"/>
              </w:rPr>
              <w:t xml:space="preserve"> and properties to the west near Moggill Creek from </w:t>
            </w:r>
            <w:r w:rsidR="004523AE">
              <w:rPr>
                <w:lang w:val="en-AU"/>
              </w:rPr>
              <w:t xml:space="preserve">the </w:t>
            </w:r>
            <w:r w:rsidR="00D94E54" w:rsidRPr="004824DF">
              <w:rPr>
                <w:lang w:val="en-AU"/>
              </w:rPr>
              <w:t xml:space="preserve">Emerging community zone to </w:t>
            </w:r>
            <w:r w:rsidR="004523AE">
              <w:rPr>
                <w:lang w:val="en-AU"/>
              </w:rPr>
              <w:t xml:space="preserve">the </w:t>
            </w:r>
            <w:proofErr w:type="gramStart"/>
            <w:r w:rsidR="00D94E54" w:rsidRPr="004824DF">
              <w:rPr>
                <w:lang w:val="en-AU"/>
              </w:rPr>
              <w:t>Low density</w:t>
            </w:r>
            <w:proofErr w:type="gramEnd"/>
            <w:r w:rsidR="00D94E54" w:rsidRPr="004824DF">
              <w:rPr>
                <w:lang w:val="en-AU"/>
              </w:rPr>
              <w:t xml:space="preserve"> residential zone for the following reasons</w:t>
            </w:r>
            <w:r w:rsidR="006470FF">
              <w:rPr>
                <w:lang w:val="en-AU"/>
              </w:rPr>
              <w:t>.</w:t>
            </w:r>
            <w:r w:rsidR="00D94E54" w:rsidRPr="004824DF">
              <w:rPr>
                <w:lang w:val="en-AU"/>
              </w:rPr>
              <w:t xml:space="preserve"> </w:t>
            </w:r>
          </w:p>
          <w:p w14:paraId="4BFECD9D" w14:textId="135E49A3" w:rsidR="00D94E54" w:rsidRPr="002A53B6" w:rsidRDefault="00D94E54" w:rsidP="004523AE">
            <w:pPr>
              <w:pStyle w:val="SubmissionTable"/>
              <w:numPr>
                <w:ilvl w:val="0"/>
                <w:numId w:val="10"/>
              </w:numPr>
              <w:spacing w:before="0" w:after="0"/>
              <w:rPr>
                <w:rFonts w:cs="Arial"/>
                <w:sz w:val="20"/>
                <w:shd w:val="clear" w:color="auto" w:fill="FFFFFF"/>
              </w:rPr>
            </w:pPr>
            <w:r w:rsidRPr="002A53B6">
              <w:rPr>
                <w:rFonts w:cs="Arial"/>
                <w:sz w:val="20"/>
                <w:shd w:val="clear" w:color="auto" w:fill="FFFFFF"/>
              </w:rPr>
              <w:t>The zoning should provide a gentle transition to lower density development</w:t>
            </w:r>
            <w:r w:rsidR="004F4086">
              <w:rPr>
                <w:rFonts w:cs="Arial"/>
                <w:sz w:val="20"/>
                <w:shd w:val="clear" w:color="auto" w:fill="FFFFFF"/>
              </w:rPr>
              <w:t>.</w:t>
            </w:r>
            <w:r w:rsidRPr="002A53B6">
              <w:rPr>
                <w:rFonts w:cs="Arial"/>
                <w:sz w:val="20"/>
                <w:shd w:val="clear" w:color="auto" w:fill="FFFFFF"/>
              </w:rPr>
              <w:t xml:space="preserve"> </w:t>
            </w:r>
          </w:p>
          <w:p w14:paraId="0922DDD9" w14:textId="20F772B2" w:rsidR="00D94E54" w:rsidRPr="00C935EB" w:rsidRDefault="00130427" w:rsidP="004523AE">
            <w:pPr>
              <w:pStyle w:val="SubmissionTable"/>
              <w:numPr>
                <w:ilvl w:val="0"/>
                <w:numId w:val="6"/>
              </w:numPr>
              <w:spacing w:before="0" w:after="0"/>
              <w:rPr>
                <w:rFonts w:cs="Arial"/>
                <w:sz w:val="20"/>
                <w:shd w:val="clear" w:color="auto" w:fill="FFFFFF"/>
              </w:rPr>
            </w:pPr>
            <w:r>
              <w:rPr>
                <w:rFonts w:cs="Arial"/>
                <w:sz w:val="20"/>
                <w:shd w:val="clear" w:color="auto" w:fill="FFFFFF"/>
              </w:rPr>
              <w:t xml:space="preserve">There </w:t>
            </w:r>
            <w:r w:rsidR="00D94E54" w:rsidRPr="002A53B6">
              <w:rPr>
                <w:rFonts w:cs="Arial"/>
                <w:sz w:val="20"/>
                <w:shd w:val="clear" w:color="auto" w:fill="FFFFFF"/>
              </w:rPr>
              <w:t>should be a consistent approach to zoning in this area.</w:t>
            </w:r>
            <w:r w:rsidR="00D94E54">
              <w:rPr>
                <w:rFonts w:cs="Arial"/>
                <w:sz w:val="20"/>
                <w:shd w:val="clear" w:color="auto" w:fill="FFFFFF"/>
              </w:rPr>
              <w:t xml:space="preserve"> </w:t>
            </w:r>
          </w:p>
          <w:p w14:paraId="19A59132" w14:textId="36B788C0" w:rsidR="00D94E54" w:rsidRPr="002A53B6" w:rsidRDefault="00D94E54" w:rsidP="004523AE">
            <w:pPr>
              <w:pStyle w:val="SubmissionTable"/>
              <w:numPr>
                <w:ilvl w:val="0"/>
                <w:numId w:val="10"/>
              </w:numPr>
              <w:spacing w:before="0" w:after="0"/>
              <w:rPr>
                <w:rFonts w:cs="Arial"/>
                <w:sz w:val="20"/>
                <w:shd w:val="clear" w:color="auto" w:fill="FFFFFF"/>
              </w:rPr>
            </w:pPr>
            <w:r w:rsidRPr="002A53B6">
              <w:rPr>
                <w:rFonts w:cs="Arial"/>
                <w:sz w:val="20"/>
                <w:shd w:val="clear" w:color="auto" w:fill="FFFFFF"/>
              </w:rPr>
              <w:t xml:space="preserve">Low density residential </w:t>
            </w:r>
            <w:r w:rsidR="000C38CC">
              <w:rPr>
                <w:rFonts w:cs="Arial"/>
                <w:sz w:val="20"/>
                <w:shd w:val="clear" w:color="auto" w:fill="FFFFFF"/>
              </w:rPr>
              <w:t>lots</w:t>
            </w:r>
            <w:r w:rsidRPr="002A53B6">
              <w:rPr>
                <w:rFonts w:cs="Arial"/>
                <w:sz w:val="20"/>
                <w:shd w:val="clear" w:color="auto" w:fill="FFFFFF"/>
              </w:rPr>
              <w:t xml:space="preserve"> in the area have been split into very small blocks. The resulting development has altered the character of the area</w:t>
            </w:r>
            <w:r>
              <w:rPr>
                <w:rFonts w:cs="Arial"/>
                <w:sz w:val="20"/>
                <w:shd w:val="clear" w:color="auto" w:fill="FFFFFF"/>
              </w:rPr>
              <w:t>.</w:t>
            </w:r>
          </w:p>
          <w:p w14:paraId="7FBFE9F3" w14:textId="4D17E29D" w:rsidR="00D94E54" w:rsidRPr="002A53B6" w:rsidRDefault="00D94E54" w:rsidP="004523AE">
            <w:pPr>
              <w:pStyle w:val="SubmissionTable"/>
              <w:numPr>
                <w:ilvl w:val="0"/>
                <w:numId w:val="10"/>
              </w:numPr>
              <w:spacing w:before="0" w:after="0"/>
              <w:rPr>
                <w:rFonts w:cs="Arial"/>
                <w:sz w:val="20"/>
                <w:shd w:val="clear" w:color="auto" w:fill="FFFFFF"/>
              </w:rPr>
            </w:pPr>
            <w:r w:rsidRPr="002A53B6">
              <w:rPr>
                <w:rFonts w:cs="Arial"/>
                <w:sz w:val="20"/>
                <w:shd w:val="clear" w:color="auto" w:fill="FFFFFF"/>
              </w:rPr>
              <w:t xml:space="preserve">There is an important corridor of koala habitat along this stretch of </w:t>
            </w:r>
            <w:proofErr w:type="spellStart"/>
            <w:r w:rsidRPr="002A53B6">
              <w:rPr>
                <w:rFonts w:cs="Arial"/>
                <w:sz w:val="20"/>
                <w:shd w:val="clear" w:color="auto" w:fill="FFFFFF"/>
              </w:rPr>
              <w:t>Moggill</w:t>
            </w:r>
            <w:proofErr w:type="spellEnd"/>
            <w:r w:rsidRPr="002A53B6">
              <w:rPr>
                <w:rFonts w:cs="Arial"/>
                <w:sz w:val="20"/>
                <w:shd w:val="clear" w:color="auto" w:fill="FFFFFF"/>
              </w:rPr>
              <w:t xml:space="preserve"> Creek, which would be threatened by more intensive development</w:t>
            </w:r>
            <w:r w:rsidR="008C6684">
              <w:rPr>
                <w:rFonts w:cs="Arial"/>
                <w:sz w:val="20"/>
                <w:shd w:val="clear" w:color="auto" w:fill="FFFFFF"/>
              </w:rPr>
              <w:t>.</w:t>
            </w:r>
          </w:p>
          <w:p w14:paraId="26BDE535" w14:textId="5CE90394" w:rsidR="00D94E54" w:rsidRPr="002A53B6" w:rsidRDefault="00D94E54" w:rsidP="004523AE">
            <w:pPr>
              <w:pStyle w:val="SubmissionTable"/>
              <w:numPr>
                <w:ilvl w:val="0"/>
                <w:numId w:val="6"/>
              </w:numPr>
              <w:spacing w:before="0" w:after="0"/>
              <w:rPr>
                <w:rFonts w:cs="Arial"/>
                <w:sz w:val="20"/>
                <w:shd w:val="clear" w:color="auto" w:fill="FFFFFF"/>
              </w:rPr>
            </w:pPr>
            <w:r w:rsidRPr="002A53B6">
              <w:rPr>
                <w:rFonts w:cs="Arial"/>
                <w:sz w:val="20"/>
                <w:shd w:val="clear" w:color="auto" w:fill="FFFFFF"/>
              </w:rPr>
              <w:t xml:space="preserve">Request </w:t>
            </w:r>
            <w:r w:rsidR="009317F8">
              <w:rPr>
                <w:rFonts w:cs="Arial"/>
                <w:sz w:val="20"/>
                <w:shd w:val="clear" w:color="auto" w:fill="FFFFFF"/>
              </w:rPr>
              <w:t xml:space="preserve">that </w:t>
            </w:r>
            <w:r w:rsidRPr="002A53B6">
              <w:rPr>
                <w:rFonts w:cs="Arial"/>
                <w:sz w:val="20"/>
                <w:shd w:val="clear" w:color="auto" w:fill="FFFFFF"/>
              </w:rPr>
              <w:t xml:space="preserve">the Emerging community zone </w:t>
            </w:r>
            <w:r w:rsidR="009317F8">
              <w:rPr>
                <w:rFonts w:cs="Arial"/>
                <w:sz w:val="20"/>
                <w:shd w:val="clear" w:color="auto" w:fill="FFFFFF"/>
              </w:rPr>
              <w:t xml:space="preserve">be </w:t>
            </w:r>
            <w:r w:rsidRPr="002A53B6">
              <w:rPr>
                <w:rFonts w:cs="Arial"/>
                <w:sz w:val="20"/>
                <w:shd w:val="clear" w:color="auto" w:fill="FFFFFF"/>
              </w:rPr>
              <w:t xml:space="preserve">retained or limit residential densities to </w:t>
            </w:r>
            <w:r w:rsidR="006470FF">
              <w:rPr>
                <w:rFonts w:cs="Arial"/>
                <w:sz w:val="20"/>
                <w:shd w:val="clear" w:color="auto" w:fill="FFFFFF"/>
              </w:rPr>
              <w:t>five</w:t>
            </w:r>
            <w:r w:rsidRPr="002A53B6">
              <w:rPr>
                <w:rFonts w:cs="Arial"/>
                <w:sz w:val="20"/>
                <w:shd w:val="clear" w:color="auto" w:fill="FFFFFF"/>
              </w:rPr>
              <w:t xml:space="preserve"> dwellings per hectare </w:t>
            </w:r>
            <w:proofErr w:type="gramStart"/>
            <w:r w:rsidRPr="002A53B6">
              <w:rPr>
                <w:rFonts w:cs="Arial"/>
                <w:sz w:val="20"/>
                <w:shd w:val="clear" w:color="auto" w:fill="FFFFFF"/>
              </w:rPr>
              <w:t>where</w:t>
            </w:r>
            <w:proofErr w:type="gramEnd"/>
            <w:r w:rsidRPr="002A53B6">
              <w:rPr>
                <w:rFonts w:cs="Arial"/>
                <w:sz w:val="20"/>
                <w:shd w:val="clear" w:color="auto" w:fill="FFFFFF"/>
              </w:rPr>
              <w:t xml:space="preserve"> adjoining the Environmental management zone or within 150</w:t>
            </w:r>
            <w:r w:rsidR="009317F8">
              <w:rPr>
                <w:rFonts w:cs="Arial"/>
                <w:sz w:val="20"/>
                <w:shd w:val="clear" w:color="auto" w:fill="FFFFFF"/>
              </w:rPr>
              <w:t> </w:t>
            </w:r>
            <w:r w:rsidRPr="002A53B6">
              <w:rPr>
                <w:rFonts w:cs="Arial"/>
                <w:sz w:val="20"/>
                <w:shd w:val="clear" w:color="auto" w:fill="FFFFFF"/>
              </w:rPr>
              <w:t>m of waterways in the Kenmore area.</w:t>
            </w:r>
          </w:p>
          <w:p w14:paraId="5E0EE34B" w14:textId="27A9B93E" w:rsidR="00D94E54" w:rsidRPr="002A53B6" w:rsidRDefault="008C6684" w:rsidP="004523AE">
            <w:pPr>
              <w:pStyle w:val="SubmissionTable"/>
              <w:numPr>
                <w:ilvl w:val="0"/>
                <w:numId w:val="6"/>
              </w:numPr>
              <w:spacing w:before="0" w:after="0"/>
              <w:rPr>
                <w:rFonts w:cs="Arial"/>
                <w:color w:val="auto"/>
                <w:sz w:val="20"/>
                <w:lang w:val="en-AU"/>
              </w:rPr>
            </w:pPr>
            <w:r>
              <w:rPr>
                <w:rFonts w:cs="Arial"/>
                <w:sz w:val="20"/>
                <w:shd w:val="clear" w:color="auto" w:fill="FFFFFF"/>
              </w:rPr>
              <w:t>M</w:t>
            </w:r>
            <w:r w:rsidR="00D94E54" w:rsidRPr="002A53B6">
              <w:rPr>
                <w:rFonts w:cs="Arial"/>
                <w:sz w:val="20"/>
                <w:shd w:val="clear" w:color="auto" w:fill="FFFFFF"/>
              </w:rPr>
              <w:t xml:space="preserve">ore intensive residential development is proposed at the cost of waterway and habitat corridors. </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922894D" w14:textId="6059FA41" w:rsidR="009041F2" w:rsidRDefault="009041F2" w:rsidP="002D0222">
            <w:pPr>
              <w:spacing w:after="0"/>
              <w:rPr>
                <w:lang w:val="en-AU"/>
              </w:rPr>
            </w:pPr>
            <w:r>
              <w:rPr>
                <w:lang w:val="en-AU"/>
              </w:rPr>
              <w:t xml:space="preserve">The proposed zoning change from </w:t>
            </w:r>
            <w:r w:rsidR="009317F8">
              <w:rPr>
                <w:lang w:val="en-AU"/>
              </w:rPr>
              <w:t xml:space="preserve">the </w:t>
            </w:r>
            <w:r>
              <w:rPr>
                <w:lang w:val="en-AU"/>
              </w:rPr>
              <w:t xml:space="preserve">Emerging community zone to </w:t>
            </w:r>
            <w:r w:rsidR="009317F8">
              <w:rPr>
                <w:lang w:val="en-AU"/>
              </w:rPr>
              <w:t xml:space="preserve">the </w:t>
            </w:r>
            <w:proofErr w:type="gramStart"/>
            <w:r>
              <w:rPr>
                <w:lang w:val="en-AU"/>
              </w:rPr>
              <w:t>Low density</w:t>
            </w:r>
            <w:proofErr w:type="gramEnd"/>
            <w:r>
              <w:rPr>
                <w:lang w:val="en-AU"/>
              </w:rPr>
              <w:t xml:space="preserve"> residential zone was initiated by Council </w:t>
            </w:r>
            <w:r w:rsidR="00566BFF">
              <w:rPr>
                <w:lang w:val="en-AU"/>
              </w:rPr>
              <w:t>as an action from</w:t>
            </w:r>
            <w:r>
              <w:rPr>
                <w:lang w:val="en-AU"/>
              </w:rPr>
              <w:t xml:space="preserve"> </w:t>
            </w:r>
            <w:r w:rsidRPr="009041F2">
              <w:rPr>
                <w:lang w:val="en-AU"/>
              </w:rPr>
              <w:t>BFP</w:t>
            </w:r>
            <w:r w:rsidR="00566BFF">
              <w:rPr>
                <w:lang w:val="en-AU"/>
              </w:rPr>
              <w:t xml:space="preserve"> - </w:t>
            </w:r>
          </w:p>
          <w:p w14:paraId="0CF9FCAF" w14:textId="1EC24E4A" w:rsidR="009041F2" w:rsidRPr="0086238D" w:rsidRDefault="009041F2" w:rsidP="002D0222">
            <w:pPr>
              <w:spacing w:after="0"/>
              <w:rPr>
                <w:i/>
                <w:iCs/>
              </w:rPr>
            </w:pPr>
            <w:r w:rsidRPr="003C19A7">
              <w:rPr>
                <w:i/>
                <w:iCs/>
              </w:rPr>
              <w:t>Ensure that suburban development fits in with its surroundings. Audit Emerging Community land and rezone to Low Density Residential land where appropriate.</w:t>
            </w:r>
          </w:p>
          <w:p w14:paraId="08DAB4C9" w14:textId="77777777" w:rsidR="0076693E" w:rsidRDefault="0076693E" w:rsidP="002D0222">
            <w:pPr>
              <w:spacing w:after="0"/>
              <w:rPr>
                <w:lang w:val="en-AU"/>
              </w:rPr>
            </w:pPr>
          </w:p>
          <w:p w14:paraId="68A9A099" w14:textId="77777777" w:rsidR="00FF2077" w:rsidRDefault="009041F2" w:rsidP="002D0222">
            <w:pPr>
              <w:spacing w:after="0"/>
            </w:pPr>
            <w:r>
              <w:rPr>
                <w:lang w:val="en-AU"/>
              </w:rPr>
              <w:t>The</w:t>
            </w:r>
            <w:r w:rsidRPr="009E0412">
              <w:rPr>
                <w:lang w:val="en-AU"/>
              </w:rPr>
              <w:t xml:space="preserve"> audit </w:t>
            </w:r>
            <w:r w:rsidR="00082F6F">
              <w:rPr>
                <w:lang w:val="en-AU"/>
              </w:rPr>
              <w:t xml:space="preserve">assessed </w:t>
            </w:r>
            <w:r w:rsidR="004E4382">
              <w:rPr>
                <w:lang w:val="en-AU"/>
              </w:rPr>
              <w:t xml:space="preserve">the </w:t>
            </w:r>
            <w:r w:rsidR="00082F6F">
              <w:rPr>
                <w:lang w:val="en-AU"/>
              </w:rPr>
              <w:t xml:space="preserve">suitability </w:t>
            </w:r>
            <w:r w:rsidR="00287DB4">
              <w:rPr>
                <w:lang w:val="en-AU"/>
              </w:rPr>
              <w:t>of lots</w:t>
            </w:r>
            <w:r w:rsidR="00082F6F">
              <w:rPr>
                <w:lang w:val="en-AU"/>
              </w:rPr>
              <w:t xml:space="preserve"> changing from </w:t>
            </w:r>
            <w:r w:rsidR="00287DB4">
              <w:rPr>
                <w:lang w:val="en-AU"/>
              </w:rPr>
              <w:t xml:space="preserve">the </w:t>
            </w:r>
            <w:r w:rsidR="00082F6F">
              <w:rPr>
                <w:lang w:val="en-AU"/>
              </w:rPr>
              <w:t xml:space="preserve">Emerging community zone to </w:t>
            </w:r>
            <w:r w:rsidR="00287DB4">
              <w:rPr>
                <w:lang w:val="en-AU"/>
              </w:rPr>
              <w:t xml:space="preserve">the </w:t>
            </w:r>
            <w:proofErr w:type="gramStart"/>
            <w:r w:rsidR="00082F6F">
              <w:rPr>
                <w:lang w:val="en-AU"/>
              </w:rPr>
              <w:t>Low density</w:t>
            </w:r>
            <w:proofErr w:type="gramEnd"/>
            <w:r w:rsidR="00082F6F">
              <w:rPr>
                <w:lang w:val="en-AU"/>
              </w:rPr>
              <w:t xml:space="preserve"> residential zone</w:t>
            </w:r>
            <w:r w:rsidR="00287DB4">
              <w:rPr>
                <w:lang w:val="en-AU"/>
              </w:rPr>
              <w:t xml:space="preserve"> against factors such as whether or not the area is in a neighbourhood plan and the number and types of constraints.</w:t>
            </w:r>
            <w:r w:rsidR="00082F6F">
              <w:rPr>
                <w:lang w:val="en-AU"/>
              </w:rPr>
              <w:t xml:space="preserve"> </w:t>
            </w:r>
          </w:p>
          <w:p w14:paraId="1C26B8C4" w14:textId="4608DA81" w:rsidR="00DA4D65" w:rsidRDefault="0079137D" w:rsidP="002D0222">
            <w:pPr>
              <w:spacing w:after="0"/>
              <w:rPr>
                <w:rFonts w:cs="Arial"/>
                <w:shd w:val="clear" w:color="auto" w:fill="FFFFFF"/>
              </w:rPr>
            </w:pPr>
            <w:r>
              <w:rPr>
                <w:rFonts w:cs="Arial"/>
                <w:shd w:val="clear" w:color="auto" w:fill="FFFFFF"/>
              </w:rPr>
              <w:t xml:space="preserve">The property at </w:t>
            </w:r>
            <w:r w:rsidR="00D94E54">
              <w:rPr>
                <w:rFonts w:cs="Arial"/>
                <w:shd w:val="clear" w:color="auto" w:fill="FFFFFF"/>
              </w:rPr>
              <w:t>48 Scenic Road, Kenmore</w:t>
            </w:r>
            <w:r w:rsidR="009317F8">
              <w:rPr>
                <w:rFonts w:cs="Arial"/>
                <w:shd w:val="clear" w:color="auto" w:fill="FFFFFF"/>
              </w:rPr>
              <w:t>,</w:t>
            </w:r>
            <w:r w:rsidR="00D94E54">
              <w:rPr>
                <w:rFonts w:cs="Arial"/>
                <w:shd w:val="clear" w:color="auto" w:fill="FFFFFF"/>
              </w:rPr>
              <w:t xml:space="preserve"> was identified </w:t>
            </w:r>
            <w:r w:rsidR="00566BFF">
              <w:rPr>
                <w:rFonts w:cs="Arial"/>
                <w:shd w:val="clear" w:color="auto" w:fill="FFFFFF"/>
              </w:rPr>
              <w:t xml:space="preserve">by the audit as being suitable </w:t>
            </w:r>
            <w:r w:rsidR="009317F8">
              <w:rPr>
                <w:rFonts w:cs="Arial"/>
                <w:shd w:val="clear" w:color="auto" w:fill="FFFFFF"/>
              </w:rPr>
              <w:t>for a</w:t>
            </w:r>
            <w:r w:rsidR="00566BFF">
              <w:rPr>
                <w:rFonts w:cs="Arial"/>
                <w:shd w:val="clear" w:color="auto" w:fill="FFFFFF"/>
              </w:rPr>
              <w:t xml:space="preserve"> change</w:t>
            </w:r>
            <w:r w:rsidR="00F31109">
              <w:rPr>
                <w:rFonts w:cs="Arial"/>
                <w:shd w:val="clear" w:color="auto" w:fill="FFFFFF"/>
              </w:rPr>
              <w:t xml:space="preserve"> </w:t>
            </w:r>
            <w:r w:rsidR="009317F8">
              <w:rPr>
                <w:rFonts w:cs="Arial"/>
                <w:shd w:val="clear" w:color="auto" w:fill="FFFFFF"/>
              </w:rPr>
              <w:t xml:space="preserve">of </w:t>
            </w:r>
            <w:r w:rsidR="00F31109">
              <w:rPr>
                <w:rFonts w:cs="Arial"/>
                <w:shd w:val="clear" w:color="auto" w:fill="FFFFFF"/>
              </w:rPr>
              <w:t>zone</w:t>
            </w:r>
            <w:r>
              <w:rPr>
                <w:rFonts w:cs="Arial"/>
                <w:shd w:val="clear" w:color="auto" w:fill="FFFFFF"/>
              </w:rPr>
              <w:t xml:space="preserve"> as it is largely unconstrained and suitable for low</w:t>
            </w:r>
            <w:r w:rsidR="009317F8">
              <w:rPr>
                <w:rFonts w:cs="Arial"/>
                <w:shd w:val="clear" w:color="auto" w:fill="FFFFFF"/>
              </w:rPr>
              <w:t>-</w:t>
            </w:r>
            <w:r>
              <w:rPr>
                <w:rFonts w:cs="Arial"/>
                <w:shd w:val="clear" w:color="auto" w:fill="FFFFFF"/>
              </w:rPr>
              <w:t>density residential development</w:t>
            </w:r>
            <w:r w:rsidR="00D94E54">
              <w:rPr>
                <w:rFonts w:cs="Arial"/>
                <w:shd w:val="clear" w:color="auto" w:fill="FFFFFF"/>
              </w:rPr>
              <w:t>. The</w:t>
            </w:r>
            <w:r w:rsidR="008D5A73">
              <w:rPr>
                <w:rFonts w:cs="Arial"/>
                <w:shd w:val="clear" w:color="auto" w:fill="FFFFFF"/>
              </w:rPr>
              <w:t xml:space="preserve"> nearby</w:t>
            </w:r>
            <w:r w:rsidR="00D94E54">
              <w:rPr>
                <w:rFonts w:cs="Arial"/>
                <w:shd w:val="clear" w:color="auto" w:fill="FFFFFF"/>
              </w:rPr>
              <w:t xml:space="preserve"> </w:t>
            </w:r>
            <w:r w:rsidR="00254BC2">
              <w:rPr>
                <w:rFonts w:cs="Arial"/>
                <w:shd w:val="clear" w:color="auto" w:fill="FFFFFF"/>
              </w:rPr>
              <w:t>sites</w:t>
            </w:r>
            <w:r w:rsidR="00F5383B">
              <w:rPr>
                <w:rFonts w:cs="Arial"/>
                <w:shd w:val="clear" w:color="auto" w:fill="FFFFFF"/>
              </w:rPr>
              <w:t xml:space="preserve"> on Scenic</w:t>
            </w:r>
            <w:r w:rsidR="0008424A">
              <w:rPr>
                <w:rFonts w:cs="Arial"/>
                <w:shd w:val="clear" w:color="auto" w:fill="FFFFFF"/>
              </w:rPr>
              <w:t xml:space="preserve"> Road</w:t>
            </w:r>
            <w:r w:rsidR="00D94E54">
              <w:rPr>
                <w:rFonts w:cs="Arial"/>
                <w:shd w:val="clear" w:color="auto" w:fill="FFFFFF"/>
              </w:rPr>
              <w:t xml:space="preserve"> retained in the Emerging community zone </w:t>
            </w:r>
            <w:r w:rsidR="00566BFF">
              <w:rPr>
                <w:rFonts w:cs="Arial"/>
                <w:shd w:val="clear" w:color="auto" w:fill="FFFFFF"/>
              </w:rPr>
              <w:t xml:space="preserve">were not considered </w:t>
            </w:r>
            <w:r w:rsidR="00287DB4">
              <w:rPr>
                <w:rFonts w:cs="Arial"/>
                <w:shd w:val="clear" w:color="auto" w:fill="FFFFFF"/>
              </w:rPr>
              <w:t xml:space="preserve">suitable </w:t>
            </w:r>
            <w:r w:rsidR="009317F8">
              <w:rPr>
                <w:rFonts w:cs="Arial"/>
                <w:shd w:val="clear" w:color="auto" w:fill="FFFFFF"/>
              </w:rPr>
              <w:t>for a</w:t>
            </w:r>
            <w:r w:rsidR="00287DB4">
              <w:rPr>
                <w:rFonts w:cs="Arial"/>
                <w:shd w:val="clear" w:color="auto" w:fill="FFFFFF"/>
              </w:rPr>
              <w:t xml:space="preserve"> change </w:t>
            </w:r>
            <w:r w:rsidR="009317F8">
              <w:rPr>
                <w:rFonts w:cs="Arial"/>
                <w:shd w:val="clear" w:color="auto" w:fill="FFFFFF"/>
              </w:rPr>
              <w:t xml:space="preserve">of </w:t>
            </w:r>
            <w:r w:rsidR="00287DB4">
              <w:rPr>
                <w:rFonts w:cs="Arial"/>
                <w:shd w:val="clear" w:color="auto" w:fill="FFFFFF"/>
              </w:rPr>
              <w:t>zone</w:t>
            </w:r>
            <w:r>
              <w:rPr>
                <w:rFonts w:cs="Arial"/>
                <w:shd w:val="clear" w:color="auto" w:fill="FFFFFF"/>
              </w:rPr>
              <w:t xml:space="preserve"> as they are subject to further development constraints</w:t>
            </w:r>
            <w:r w:rsidR="00287DB4">
              <w:rPr>
                <w:rFonts w:cs="Arial"/>
                <w:shd w:val="clear" w:color="auto" w:fill="FFFFFF"/>
              </w:rPr>
              <w:t>.</w:t>
            </w:r>
            <w:r w:rsidR="00D94E54">
              <w:rPr>
                <w:rFonts w:cs="Arial"/>
                <w:shd w:val="clear" w:color="auto" w:fill="FFFFFF"/>
              </w:rPr>
              <w:t xml:space="preserve"> </w:t>
            </w:r>
          </w:p>
          <w:p w14:paraId="3505B116" w14:textId="77777777" w:rsidR="00DA4D65" w:rsidRDefault="00DA4D65" w:rsidP="002D0222">
            <w:pPr>
              <w:spacing w:after="0"/>
              <w:rPr>
                <w:rFonts w:cs="Arial"/>
                <w:shd w:val="clear" w:color="auto" w:fill="FFFFFF"/>
              </w:rPr>
            </w:pPr>
          </w:p>
          <w:p w14:paraId="784060EB" w14:textId="5CB364E6" w:rsidR="00D94E54" w:rsidRPr="005439AF" w:rsidRDefault="00D94E54" w:rsidP="002D0222">
            <w:pPr>
              <w:spacing w:after="0"/>
              <w:rPr>
                <w:rFonts w:cs="Arial"/>
                <w:shd w:val="clear" w:color="auto" w:fill="FFFFFF"/>
              </w:rPr>
            </w:pPr>
            <w:r>
              <w:rPr>
                <w:rFonts w:cs="Arial"/>
                <w:shd w:val="clear" w:color="auto" w:fill="FFFFFF"/>
              </w:rPr>
              <w:t xml:space="preserve">The Emerging community zone does not prevent development </w:t>
            </w:r>
            <w:r w:rsidR="00287DB4">
              <w:rPr>
                <w:rFonts w:cs="Arial"/>
                <w:shd w:val="clear" w:color="auto" w:fill="FFFFFF"/>
              </w:rPr>
              <w:t>but provides for the possibility of further development</w:t>
            </w:r>
            <w:r w:rsidR="009317F8">
              <w:rPr>
                <w:rFonts w:cs="Arial"/>
                <w:shd w:val="clear" w:color="auto" w:fill="FFFFFF"/>
              </w:rPr>
              <w:t>,</w:t>
            </w:r>
            <w:r w:rsidR="00287DB4">
              <w:rPr>
                <w:rFonts w:cs="Arial"/>
                <w:shd w:val="clear" w:color="auto" w:fill="FFFFFF"/>
              </w:rPr>
              <w:t xml:space="preserve"> subject to detailed planning</w:t>
            </w:r>
            <w:r w:rsidR="004E4382">
              <w:rPr>
                <w:rFonts w:cs="Arial"/>
                <w:shd w:val="clear" w:color="auto" w:fill="FFFFFF"/>
              </w:rPr>
              <w:t>,</w:t>
            </w:r>
            <w:r w:rsidR="00287DB4">
              <w:rPr>
                <w:rFonts w:cs="Arial"/>
                <w:shd w:val="clear" w:color="auto" w:fill="FFFFFF"/>
              </w:rPr>
              <w:t xml:space="preserve"> </w:t>
            </w:r>
            <w:proofErr w:type="gramStart"/>
            <w:r w:rsidR="00287DB4">
              <w:rPr>
                <w:rFonts w:cs="Arial"/>
                <w:shd w:val="clear" w:color="auto" w:fill="FFFFFF"/>
              </w:rPr>
              <w:t>taking into account</w:t>
            </w:r>
            <w:proofErr w:type="gramEnd"/>
            <w:r w:rsidR="00287DB4">
              <w:rPr>
                <w:rFonts w:cs="Arial"/>
                <w:shd w:val="clear" w:color="auto" w:fill="FFFFFF"/>
              </w:rPr>
              <w:t xml:space="preserve"> the surrounding development and any constraints. </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58D30C1C" w14:textId="77777777" w:rsidR="00D94E54" w:rsidRPr="002A53B6" w:rsidRDefault="00D94E54" w:rsidP="00D000E5">
            <w:pPr>
              <w:pStyle w:val="SubmissionTable"/>
              <w:spacing w:before="0" w:after="0"/>
              <w:rPr>
                <w:rFonts w:cs="Arial"/>
                <w:sz w:val="20"/>
                <w:highlight w:val="yellow"/>
                <w:lang w:val="en-AU"/>
              </w:rPr>
            </w:pPr>
            <w:r w:rsidRPr="00C935EB">
              <w:rPr>
                <w:rFonts w:cs="Arial"/>
                <w:sz w:val="20"/>
                <w:lang w:val="en-AU"/>
              </w:rPr>
              <w:t>No change</w:t>
            </w:r>
          </w:p>
        </w:tc>
      </w:tr>
      <w:tr w:rsidR="00D94E54" w:rsidRPr="002A53B6" w14:paraId="4FE84744" w14:textId="77777777" w:rsidTr="00D7220D">
        <w:trPr>
          <w:trHeight w:val="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79970CC2" w14:textId="77777777" w:rsidR="00D94E54" w:rsidRPr="002A53B6" w:rsidRDefault="00D94E54" w:rsidP="002D0222">
            <w:pPr>
              <w:pStyle w:val="SubmissionTable"/>
              <w:spacing w:before="0" w:after="0"/>
              <w:rPr>
                <w:rFonts w:cs="Arial"/>
                <w:sz w:val="20"/>
                <w:lang w:val="en-AU"/>
              </w:rPr>
            </w:pPr>
            <w:r w:rsidRPr="00444C3A">
              <w:rPr>
                <w:rFonts w:cs="Arial"/>
                <w:sz w:val="20"/>
                <w:lang w:val="en-AU"/>
              </w:rPr>
              <w:t>MK-030</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AD962AE" w14:textId="72E936A8" w:rsidR="008C6684" w:rsidRDefault="0039027D" w:rsidP="008C6684">
            <w:pPr>
              <w:spacing w:after="0"/>
              <w:rPr>
                <w:shd w:val="clear" w:color="auto" w:fill="FFFFFF"/>
              </w:rPr>
            </w:pPr>
            <w:r>
              <w:rPr>
                <w:shd w:val="clear" w:color="auto" w:fill="FFFFFF"/>
              </w:rPr>
              <w:t>The s</w:t>
            </w:r>
            <w:r w:rsidR="00D94E54" w:rsidRPr="008C6684">
              <w:rPr>
                <w:shd w:val="clear" w:color="auto" w:fill="FFFFFF"/>
              </w:rPr>
              <w:t xml:space="preserve">ubmitter opposes the proposed rezoning of 98 </w:t>
            </w:r>
            <w:proofErr w:type="spellStart"/>
            <w:r w:rsidR="00D94E54" w:rsidRPr="008C6684">
              <w:rPr>
                <w:shd w:val="clear" w:color="auto" w:fill="FFFFFF"/>
              </w:rPr>
              <w:t>Groth</w:t>
            </w:r>
            <w:proofErr w:type="spellEnd"/>
            <w:r w:rsidR="00D94E54" w:rsidRPr="008C6684">
              <w:rPr>
                <w:shd w:val="clear" w:color="auto" w:fill="FFFFFF"/>
              </w:rPr>
              <w:t xml:space="preserve"> Road, Boondall</w:t>
            </w:r>
            <w:r w:rsidR="009317F8">
              <w:rPr>
                <w:shd w:val="clear" w:color="auto" w:fill="FFFFFF"/>
              </w:rPr>
              <w:t>,</w:t>
            </w:r>
            <w:r w:rsidR="00D94E54" w:rsidRPr="008C6684">
              <w:rPr>
                <w:shd w:val="clear" w:color="auto" w:fill="FFFFFF"/>
              </w:rPr>
              <w:t xml:space="preserve"> from </w:t>
            </w:r>
            <w:r w:rsidR="009317F8">
              <w:rPr>
                <w:shd w:val="clear" w:color="auto" w:fill="FFFFFF"/>
              </w:rPr>
              <w:t xml:space="preserve">the </w:t>
            </w:r>
            <w:r w:rsidR="00D94E54" w:rsidRPr="008C6684">
              <w:rPr>
                <w:shd w:val="clear" w:color="auto" w:fill="FFFFFF"/>
              </w:rPr>
              <w:t xml:space="preserve">Emerging community zone to </w:t>
            </w:r>
            <w:r w:rsidR="009317F8">
              <w:rPr>
                <w:shd w:val="clear" w:color="auto" w:fill="FFFFFF"/>
              </w:rPr>
              <w:t xml:space="preserve">the </w:t>
            </w:r>
            <w:proofErr w:type="gramStart"/>
            <w:r w:rsidR="00D94E54" w:rsidRPr="008C6684">
              <w:rPr>
                <w:shd w:val="clear" w:color="auto" w:fill="FFFFFF"/>
              </w:rPr>
              <w:t>Low density</w:t>
            </w:r>
            <w:proofErr w:type="gramEnd"/>
            <w:r w:rsidR="00D94E54" w:rsidRPr="008C6684">
              <w:rPr>
                <w:shd w:val="clear" w:color="auto" w:fill="FFFFFF"/>
              </w:rPr>
              <w:t xml:space="preserve"> residential zone for the following reasons</w:t>
            </w:r>
            <w:r w:rsidR="006470FF">
              <w:rPr>
                <w:shd w:val="clear" w:color="auto" w:fill="FFFFFF"/>
              </w:rPr>
              <w:t>.</w:t>
            </w:r>
            <w:r w:rsidR="00D94E54" w:rsidRPr="008C6684">
              <w:rPr>
                <w:shd w:val="clear" w:color="auto" w:fill="FFFFFF"/>
              </w:rPr>
              <w:t xml:space="preserve"> </w:t>
            </w:r>
          </w:p>
          <w:p w14:paraId="3F5698DC" w14:textId="572D24FB" w:rsidR="006470FF" w:rsidRDefault="00D94E54" w:rsidP="008C6684">
            <w:pPr>
              <w:pStyle w:val="ListParagraph"/>
              <w:numPr>
                <w:ilvl w:val="0"/>
                <w:numId w:val="19"/>
              </w:numPr>
              <w:spacing w:after="0"/>
              <w:rPr>
                <w:shd w:val="clear" w:color="auto" w:fill="FFFFFF"/>
              </w:rPr>
            </w:pPr>
            <w:r w:rsidRPr="008C6684">
              <w:rPr>
                <w:shd w:val="clear" w:color="auto" w:fill="FFFFFF"/>
              </w:rPr>
              <w:t>The piecemeal designation of the site will result in development that does not fit with its surrounding</w:t>
            </w:r>
            <w:r w:rsidR="008C6684">
              <w:rPr>
                <w:shd w:val="clear" w:color="auto" w:fill="FFFFFF"/>
              </w:rPr>
              <w:t>s</w:t>
            </w:r>
            <w:r w:rsidRPr="008C6684">
              <w:rPr>
                <w:shd w:val="clear" w:color="auto" w:fill="FFFFFF"/>
              </w:rPr>
              <w:t xml:space="preserve">, which conflicts with a high-order outcome of </w:t>
            </w:r>
            <w:r w:rsidR="006470FF" w:rsidRPr="006470FF">
              <w:rPr>
                <w:shd w:val="clear" w:color="auto" w:fill="FFFFFF"/>
              </w:rPr>
              <w:t xml:space="preserve">BFP </w:t>
            </w:r>
            <w:r w:rsidR="006470FF">
              <w:rPr>
                <w:shd w:val="clear" w:color="auto" w:fill="FFFFFF"/>
              </w:rPr>
              <w:t>–</w:t>
            </w:r>
            <w:r w:rsidR="006470FF">
              <w:rPr>
                <w:i/>
                <w:iCs/>
                <w:shd w:val="clear" w:color="auto" w:fill="FFFFFF"/>
              </w:rPr>
              <w:t xml:space="preserve"> </w:t>
            </w:r>
          </w:p>
          <w:p w14:paraId="3F294E05" w14:textId="6F5F8AA4" w:rsidR="00D94E54" w:rsidRPr="006470FF" w:rsidRDefault="00D94E54" w:rsidP="006470FF">
            <w:pPr>
              <w:pStyle w:val="ListParagraph"/>
              <w:spacing w:after="0"/>
              <w:ind w:left="360"/>
              <w:rPr>
                <w:i/>
                <w:iCs/>
                <w:shd w:val="clear" w:color="auto" w:fill="FFFFFF"/>
              </w:rPr>
            </w:pPr>
            <w:r w:rsidRPr="006470FF">
              <w:rPr>
                <w:i/>
                <w:iCs/>
                <w:shd w:val="clear" w:color="auto" w:fill="FFFFFF"/>
              </w:rPr>
              <w:lastRenderedPageBreak/>
              <w:t>Ensure that suburban development fits in with its surrounding</w:t>
            </w:r>
            <w:r w:rsidR="008C6684" w:rsidRPr="006470FF">
              <w:rPr>
                <w:i/>
                <w:iCs/>
                <w:shd w:val="clear" w:color="auto" w:fill="FFFFFF"/>
              </w:rPr>
              <w:t>s</w:t>
            </w:r>
            <w:r w:rsidRPr="006470FF">
              <w:rPr>
                <w:i/>
                <w:iCs/>
                <w:shd w:val="clear" w:color="auto" w:fill="FFFFFF"/>
              </w:rPr>
              <w:t xml:space="preserve">. </w:t>
            </w:r>
          </w:p>
          <w:p w14:paraId="2EA2DDAD" w14:textId="3F2D15AE" w:rsidR="00D94E54" w:rsidRPr="00F83F89" w:rsidRDefault="00D94E54" w:rsidP="006470FF">
            <w:pPr>
              <w:pStyle w:val="ListParagraph"/>
              <w:keepNext/>
              <w:keepLines/>
              <w:numPr>
                <w:ilvl w:val="0"/>
                <w:numId w:val="19"/>
              </w:numPr>
              <w:spacing w:after="0"/>
              <w:ind w:left="357" w:hanging="357"/>
              <w:rPr>
                <w:lang w:val="en-AU"/>
              </w:rPr>
            </w:pPr>
            <w:r w:rsidRPr="00F83F89">
              <w:rPr>
                <w:shd w:val="clear" w:color="auto" w:fill="FFFFFF"/>
              </w:rPr>
              <w:t xml:space="preserve">It will erode housing choice and diversity for the site and </w:t>
            </w:r>
            <w:r w:rsidR="009317F8">
              <w:rPr>
                <w:shd w:val="clear" w:color="auto" w:fill="FFFFFF"/>
              </w:rPr>
              <w:t xml:space="preserve">the </w:t>
            </w:r>
            <w:r w:rsidRPr="00F83F89">
              <w:rPr>
                <w:shd w:val="clear" w:color="auto" w:fill="FFFFFF"/>
              </w:rPr>
              <w:t xml:space="preserve">immediate surrounding locality as the planning scheme now bans townhouse development in the </w:t>
            </w:r>
            <w:proofErr w:type="gramStart"/>
            <w:r w:rsidRPr="00F83F89">
              <w:rPr>
                <w:shd w:val="clear" w:color="auto" w:fill="FFFFFF"/>
              </w:rPr>
              <w:t>Low density</w:t>
            </w:r>
            <w:proofErr w:type="gramEnd"/>
            <w:r w:rsidRPr="00F83F89">
              <w:rPr>
                <w:shd w:val="clear" w:color="auto" w:fill="FFFFFF"/>
              </w:rPr>
              <w:t xml:space="preserve"> residential zone. </w:t>
            </w:r>
          </w:p>
          <w:p w14:paraId="391EF0BE" w14:textId="33B6FD92" w:rsidR="00D94E54" w:rsidRPr="00F83F89" w:rsidRDefault="00D94E54" w:rsidP="002D0222">
            <w:pPr>
              <w:pStyle w:val="ListParagraph"/>
              <w:numPr>
                <w:ilvl w:val="0"/>
                <w:numId w:val="19"/>
              </w:numPr>
              <w:spacing w:after="0"/>
              <w:rPr>
                <w:lang w:val="en-AU"/>
              </w:rPr>
            </w:pPr>
            <w:r w:rsidRPr="00F83F89">
              <w:rPr>
                <w:shd w:val="clear" w:color="auto" w:fill="FFFFFF"/>
              </w:rPr>
              <w:t>It will create inconsistency with the existing development pattern of the local area, which is primarily developed for townhouses</w:t>
            </w:r>
            <w:r w:rsidR="008C6684">
              <w:rPr>
                <w:shd w:val="clear" w:color="auto" w:fill="FFFFFF"/>
              </w:rPr>
              <w:t>,</w:t>
            </w:r>
            <w:r w:rsidR="004026A0">
              <w:rPr>
                <w:shd w:val="clear" w:color="auto" w:fill="FFFFFF"/>
              </w:rPr>
              <w:t xml:space="preserve"> and the Strategic framework relating to housing diversity and ag</w:t>
            </w:r>
            <w:r w:rsidR="008C6684">
              <w:rPr>
                <w:shd w:val="clear" w:color="auto" w:fill="FFFFFF"/>
              </w:rPr>
              <w:t>e</w:t>
            </w:r>
            <w:r w:rsidR="004026A0">
              <w:rPr>
                <w:shd w:val="clear" w:color="auto" w:fill="FFFFFF"/>
              </w:rPr>
              <w:t>ing in place</w:t>
            </w:r>
            <w:r w:rsidR="008C6684">
              <w:rPr>
                <w:shd w:val="clear" w:color="auto" w:fill="FFFFFF"/>
              </w:rPr>
              <w:t>.</w:t>
            </w:r>
          </w:p>
          <w:p w14:paraId="13FCA64C" w14:textId="77777777" w:rsidR="00D94E54" w:rsidRPr="00F83F89" w:rsidRDefault="00D94E54" w:rsidP="002D0222">
            <w:pPr>
              <w:pStyle w:val="ListParagraph"/>
              <w:numPr>
                <w:ilvl w:val="0"/>
                <w:numId w:val="19"/>
              </w:numPr>
              <w:spacing w:after="0"/>
              <w:rPr>
                <w:lang w:val="en-AU"/>
              </w:rPr>
            </w:pPr>
            <w:r w:rsidRPr="00F83F89">
              <w:rPr>
                <w:shd w:val="clear" w:color="auto" w:fill="FFFFFF"/>
              </w:rPr>
              <w:t>It will result in a poor planning outcome for the community.</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3DD6254" w14:textId="5250D1E8" w:rsidR="000C0C84" w:rsidRDefault="000C0C84" w:rsidP="002D0222">
            <w:pPr>
              <w:spacing w:after="0"/>
              <w:rPr>
                <w:lang w:val="en-AU"/>
              </w:rPr>
            </w:pPr>
            <w:r>
              <w:rPr>
                <w:lang w:val="en-AU"/>
              </w:rPr>
              <w:lastRenderedPageBreak/>
              <w:t xml:space="preserve">The proposed zoning change from </w:t>
            </w:r>
            <w:r w:rsidR="009317F8">
              <w:rPr>
                <w:lang w:val="en-AU"/>
              </w:rPr>
              <w:t xml:space="preserve">the </w:t>
            </w:r>
            <w:r>
              <w:rPr>
                <w:lang w:val="en-AU"/>
              </w:rPr>
              <w:t xml:space="preserve">Emerging community zone to </w:t>
            </w:r>
            <w:r w:rsidR="009317F8">
              <w:rPr>
                <w:lang w:val="en-AU"/>
              </w:rPr>
              <w:t xml:space="preserve">the </w:t>
            </w:r>
            <w:proofErr w:type="gramStart"/>
            <w:r>
              <w:rPr>
                <w:lang w:val="en-AU"/>
              </w:rPr>
              <w:t>Low density</w:t>
            </w:r>
            <w:proofErr w:type="gramEnd"/>
            <w:r>
              <w:rPr>
                <w:lang w:val="en-AU"/>
              </w:rPr>
              <w:t xml:space="preserve"> residential zone was initiated by Council </w:t>
            </w:r>
            <w:r w:rsidR="004026A0">
              <w:rPr>
                <w:lang w:val="en-AU"/>
              </w:rPr>
              <w:t xml:space="preserve">as an action from </w:t>
            </w:r>
            <w:r w:rsidRPr="009041F2">
              <w:rPr>
                <w:lang w:val="en-AU"/>
              </w:rPr>
              <w:t>BFP</w:t>
            </w:r>
            <w:r w:rsidR="004026A0">
              <w:rPr>
                <w:lang w:val="en-AU"/>
              </w:rPr>
              <w:t xml:space="preserve"> - </w:t>
            </w:r>
          </w:p>
          <w:p w14:paraId="7F11E3C3" w14:textId="386EFED3" w:rsidR="000C0C84" w:rsidRPr="0086238D" w:rsidRDefault="000C0C84" w:rsidP="002D0222">
            <w:pPr>
              <w:spacing w:after="0"/>
              <w:rPr>
                <w:i/>
                <w:iCs/>
              </w:rPr>
            </w:pPr>
            <w:r w:rsidRPr="003C19A7">
              <w:rPr>
                <w:i/>
                <w:iCs/>
              </w:rPr>
              <w:t>Ensure that suburban development fits in with its surroundings. Audit Emerging Community land and rezone to Low Density Residential land where appropriate.</w:t>
            </w:r>
          </w:p>
          <w:p w14:paraId="50BDF736" w14:textId="77777777" w:rsidR="000833DB" w:rsidRDefault="000833DB" w:rsidP="00855678">
            <w:pPr>
              <w:spacing w:after="0"/>
              <w:rPr>
                <w:lang w:val="en-AU"/>
              </w:rPr>
            </w:pPr>
          </w:p>
          <w:p w14:paraId="04EB4A81" w14:textId="1C8206DA" w:rsidR="00D94E54" w:rsidRPr="00910D50" w:rsidRDefault="000C0C84" w:rsidP="006470FF">
            <w:pPr>
              <w:keepNext/>
              <w:keepLines/>
              <w:spacing w:after="0"/>
            </w:pPr>
            <w:r>
              <w:rPr>
                <w:lang w:val="en-AU"/>
              </w:rPr>
              <w:lastRenderedPageBreak/>
              <w:t>The</w:t>
            </w:r>
            <w:r w:rsidRPr="009E0412">
              <w:rPr>
                <w:lang w:val="en-AU"/>
              </w:rPr>
              <w:t xml:space="preserve"> audit </w:t>
            </w:r>
            <w:r w:rsidR="004026A0">
              <w:rPr>
                <w:lang w:val="en-AU"/>
              </w:rPr>
              <w:t>assessed the suitability of lots changing fr</w:t>
            </w:r>
            <w:r w:rsidR="009317F8">
              <w:rPr>
                <w:lang w:val="en-AU"/>
              </w:rPr>
              <w:t>o</w:t>
            </w:r>
            <w:r w:rsidR="004026A0">
              <w:rPr>
                <w:lang w:val="en-AU"/>
              </w:rPr>
              <w:t xml:space="preserve">m the Emerging community zone to the </w:t>
            </w:r>
            <w:proofErr w:type="gramStart"/>
            <w:r w:rsidR="004026A0">
              <w:rPr>
                <w:lang w:val="en-AU"/>
              </w:rPr>
              <w:t>Low density</w:t>
            </w:r>
            <w:proofErr w:type="gramEnd"/>
            <w:r w:rsidR="004026A0">
              <w:rPr>
                <w:lang w:val="en-AU"/>
              </w:rPr>
              <w:t xml:space="preserve"> residential zone</w:t>
            </w:r>
            <w:r w:rsidR="00534E00">
              <w:rPr>
                <w:lang w:val="en-AU"/>
              </w:rPr>
              <w:t xml:space="preserve"> against factors such as whether or not the area is in a neighbourhood plan and the number and type of constraints. </w:t>
            </w:r>
          </w:p>
          <w:p w14:paraId="1CC1914A" w14:textId="77777777" w:rsidR="0076693E" w:rsidRDefault="0076693E" w:rsidP="002D0222">
            <w:pPr>
              <w:spacing w:after="0"/>
              <w:rPr>
                <w:rFonts w:cs="Arial"/>
                <w:shd w:val="clear" w:color="auto" w:fill="FFFFFF"/>
              </w:rPr>
            </w:pPr>
          </w:p>
          <w:p w14:paraId="5195F654" w14:textId="0A425459" w:rsidR="00D94E54" w:rsidRDefault="0079137D" w:rsidP="002D0222">
            <w:pPr>
              <w:spacing w:after="0"/>
              <w:rPr>
                <w:rFonts w:cs="Arial"/>
                <w:shd w:val="clear" w:color="auto" w:fill="FFFFFF"/>
              </w:rPr>
            </w:pPr>
            <w:r>
              <w:rPr>
                <w:rFonts w:cs="Arial"/>
                <w:shd w:val="clear" w:color="auto" w:fill="FFFFFF"/>
              </w:rPr>
              <w:t xml:space="preserve">The property at </w:t>
            </w:r>
            <w:r w:rsidR="00D94E54">
              <w:rPr>
                <w:rFonts w:cs="Arial"/>
                <w:shd w:val="clear" w:color="auto" w:fill="FFFFFF"/>
              </w:rPr>
              <w:t xml:space="preserve">98 </w:t>
            </w:r>
            <w:proofErr w:type="spellStart"/>
            <w:r w:rsidR="00D94E54">
              <w:rPr>
                <w:rFonts w:cs="Arial"/>
                <w:shd w:val="clear" w:color="auto" w:fill="FFFFFF"/>
              </w:rPr>
              <w:t>Groth</w:t>
            </w:r>
            <w:proofErr w:type="spellEnd"/>
            <w:r w:rsidR="00D94E54">
              <w:rPr>
                <w:rFonts w:cs="Arial"/>
                <w:shd w:val="clear" w:color="auto" w:fill="FFFFFF"/>
              </w:rPr>
              <w:t xml:space="preserve"> Road, Boondall</w:t>
            </w:r>
            <w:r w:rsidR="009317F8">
              <w:rPr>
                <w:rFonts w:cs="Arial"/>
                <w:shd w:val="clear" w:color="auto" w:fill="FFFFFF"/>
              </w:rPr>
              <w:t>,</w:t>
            </w:r>
            <w:r w:rsidR="00D94E54">
              <w:rPr>
                <w:rFonts w:cs="Arial"/>
                <w:shd w:val="clear" w:color="auto" w:fill="FFFFFF"/>
              </w:rPr>
              <w:t xml:space="preserve"> was identified </w:t>
            </w:r>
            <w:r w:rsidR="00CB5C0D">
              <w:rPr>
                <w:rFonts w:cs="Arial"/>
                <w:shd w:val="clear" w:color="auto" w:fill="FFFFFF"/>
              </w:rPr>
              <w:t xml:space="preserve">through the audit </w:t>
            </w:r>
            <w:r w:rsidR="00D94E54">
              <w:rPr>
                <w:rFonts w:cs="Arial"/>
                <w:shd w:val="clear" w:color="auto" w:fill="FFFFFF"/>
              </w:rPr>
              <w:t xml:space="preserve">as </w:t>
            </w:r>
            <w:r w:rsidR="00CB5C0D">
              <w:rPr>
                <w:rFonts w:cs="Arial"/>
                <w:shd w:val="clear" w:color="auto" w:fill="FFFFFF"/>
              </w:rPr>
              <w:t xml:space="preserve">being suitable </w:t>
            </w:r>
            <w:r w:rsidR="009317F8">
              <w:rPr>
                <w:rFonts w:cs="Arial"/>
                <w:shd w:val="clear" w:color="auto" w:fill="FFFFFF"/>
              </w:rPr>
              <w:t xml:space="preserve">for a </w:t>
            </w:r>
            <w:r w:rsidR="00CB5C0D">
              <w:rPr>
                <w:rFonts w:cs="Arial"/>
                <w:shd w:val="clear" w:color="auto" w:fill="FFFFFF"/>
              </w:rPr>
              <w:t>change</w:t>
            </w:r>
            <w:r w:rsidR="00F0447C">
              <w:rPr>
                <w:rFonts w:cs="Arial"/>
                <w:shd w:val="clear" w:color="auto" w:fill="FFFFFF"/>
              </w:rPr>
              <w:t xml:space="preserve"> </w:t>
            </w:r>
            <w:r w:rsidR="009317F8">
              <w:rPr>
                <w:rFonts w:cs="Arial"/>
                <w:shd w:val="clear" w:color="auto" w:fill="FFFFFF"/>
              </w:rPr>
              <w:t xml:space="preserve">of </w:t>
            </w:r>
            <w:r w:rsidR="00F0447C">
              <w:rPr>
                <w:rFonts w:cs="Arial"/>
                <w:shd w:val="clear" w:color="auto" w:fill="FFFFFF"/>
              </w:rPr>
              <w:t>zone</w:t>
            </w:r>
            <w:r w:rsidR="0043714B">
              <w:rPr>
                <w:rFonts w:cs="Arial"/>
                <w:shd w:val="clear" w:color="auto" w:fill="FFFFFF"/>
              </w:rPr>
              <w:t xml:space="preserve"> as it is unconstrained and may be </w:t>
            </w:r>
            <w:r>
              <w:rPr>
                <w:rFonts w:cs="Arial"/>
                <w:shd w:val="clear" w:color="auto" w:fill="FFFFFF"/>
              </w:rPr>
              <w:t>suitable for</w:t>
            </w:r>
            <w:r w:rsidR="0043714B">
              <w:rPr>
                <w:rFonts w:cs="Arial"/>
                <w:shd w:val="clear" w:color="auto" w:fill="FFFFFF"/>
              </w:rPr>
              <w:t xml:space="preserve"> future development</w:t>
            </w:r>
            <w:r w:rsidR="00D94E54">
              <w:rPr>
                <w:rFonts w:cs="Arial"/>
                <w:shd w:val="clear" w:color="auto" w:fill="FFFFFF"/>
              </w:rPr>
              <w:t xml:space="preserve">. The surrounding </w:t>
            </w:r>
            <w:r w:rsidR="00990A34">
              <w:rPr>
                <w:rFonts w:cs="Arial"/>
                <w:shd w:val="clear" w:color="auto" w:fill="FFFFFF"/>
              </w:rPr>
              <w:t>sites</w:t>
            </w:r>
            <w:r w:rsidR="00D94E54">
              <w:rPr>
                <w:rFonts w:cs="Arial"/>
                <w:shd w:val="clear" w:color="auto" w:fill="FFFFFF"/>
              </w:rPr>
              <w:t xml:space="preserve"> retained in the Emerging community zone </w:t>
            </w:r>
            <w:r w:rsidR="00624698">
              <w:rPr>
                <w:rFonts w:cs="Arial"/>
                <w:shd w:val="clear" w:color="auto" w:fill="FFFFFF"/>
              </w:rPr>
              <w:t xml:space="preserve">were not considered suitable </w:t>
            </w:r>
            <w:r w:rsidR="0043714B">
              <w:rPr>
                <w:rFonts w:cs="Arial"/>
                <w:shd w:val="clear" w:color="auto" w:fill="FFFFFF"/>
              </w:rPr>
              <w:t xml:space="preserve">for a change </w:t>
            </w:r>
            <w:r w:rsidR="009317F8">
              <w:rPr>
                <w:rFonts w:cs="Arial"/>
                <w:shd w:val="clear" w:color="auto" w:fill="FFFFFF"/>
              </w:rPr>
              <w:t xml:space="preserve">of zone </w:t>
            </w:r>
            <w:r w:rsidR="0043714B">
              <w:rPr>
                <w:rFonts w:cs="Arial"/>
                <w:shd w:val="clear" w:color="auto" w:fill="FFFFFF"/>
              </w:rPr>
              <w:t>under this major amendment</w:t>
            </w:r>
            <w:r w:rsidR="009317F8">
              <w:rPr>
                <w:rFonts w:cs="Arial"/>
                <w:shd w:val="clear" w:color="auto" w:fill="FFFFFF"/>
              </w:rPr>
              <w:t>,</w:t>
            </w:r>
            <w:r w:rsidR="0043714B">
              <w:rPr>
                <w:rFonts w:cs="Arial"/>
                <w:shd w:val="clear" w:color="auto" w:fill="FFFFFF"/>
              </w:rPr>
              <w:t xml:space="preserve"> as they have already been subject to development</w:t>
            </w:r>
            <w:r w:rsidR="00FF5F51">
              <w:rPr>
                <w:rFonts w:cs="Arial"/>
                <w:shd w:val="clear" w:color="auto" w:fill="FFFFFF"/>
              </w:rPr>
              <w:t xml:space="preserve"> a</w:t>
            </w:r>
            <w:r w:rsidR="007A3167">
              <w:rPr>
                <w:rFonts w:cs="Arial"/>
                <w:shd w:val="clear" w:color="auto" w:fill="FFFFFF"/>
              </w:rPr>
              <w:t>p</w:t>
            </w:r>
            <w:r w:rsidR="00FF5F51">
              <w:rPr>
                <w:rFonts w:cs="Arial"/>
                <w:shd w:val="clear" w:color="auto" w:fill="FFFFFF"/>
              </w:rPr>
              <w:t>p</w:t>
            </w:r>
            <w:r w:rsidR="000878A9">
              <w:rPr>
                <w:rFonts w:cs="Arial"/>
                <w:shd w:val="clear" w:color="auto" w:fill="FFFFFF"/>
              </w:rPr>
              <w:t>roval</w:t>
            </w:r>
            <w:r w:rsidR="00FF5F51">
              <w:rPr>
                <w:rFonts w:cs="Arial"/>
                <w:shd w:val="clear" w:color="auto" w:fill="FFFFFF"/>
              </w:rPr>
              <w:t>s</w:t>
            </w:r>
            <w:r w:rsidR="00624698">
              <w:rPr>
                <w:rFonts w:cs="Arial"/>
                <w:shd w:val="clear" w:color="auto" w:fill="FFFFFF"/>
              </w:rPr>
              <w:t>.</w:t>
            </w:r>
            <w:r w:rsidR="004754AB">
              <w:rPr>
                <w:rFonts w:cs="Arial"/>
                <w:shd w:val="clear" w:color="auto" w:fill="FFFFFF"/>
              </w:rPr>
              <w:t xml:space="preserve"> The proposed Low density residential zone for 98 </w:t>
            </w:r>
            <w:proofErr w:type="spellStart"/>
            <w:r w:rsidR="004754AB">
              <w:rPr>
                <w:rFonts w:cs="Arial"/>
                <w:shd w:val="clear" w:color="auto" w:fill="FFFFFF"/>
              </w:rPr>
              <w:t>Groth</w:t>
            </w:r>
            <w:proofErr w:type="spellEnd"/>
            <w:r w:rsidR="004754AB">
              <w:rPr>
                <w:rFonts w:cs="Arial"/>
                <w:shd w:val="clear" w:color="auto" w:fill="FFFFFF"/>
              </w:rPr>
              <w:t xml:space="preserve"> Road is consistent with residential lots to the north of the site and properties on the eastern side of </w:t>
            </w:r>
            <w:proofErr w:type="spellStart"/>
            <w:r w:rsidR="004754AB">
              <w:rPr>
                <w:rFonts w:cs="Arial"/>
                <w:shd w:val="clear" w:color="auto" w:fill="FFFFFF"/>
              </w:rPr>
              <w:t>Groth</w:t>
            </w:r>
            <w:proofErr w:type="spellEnd"/>
            <w:r w:rsidR="004754AB">
              <w:rPr>
                <w:rFonts w:cs="Arial"/>
                <w:shd w:val="clear" w:color="auto" w:fill="FFFFFF"/>
              </w:rPr>
              <w:t xml:space="preserve"> Road.</w:t>
            </w:r>
          </w:p>
          <w:p w14:paraId="657A8FA7" w14:textId="77777777" w:rsidR="00A62AF8" w:rsidRDefault="00A62AF8" w:rsidP="002D0222">
            <w:pPr>
              <w:spacing w:after="0"/>
              <w:rPr>
                <w:rFonts w:cs="Arial"/>
                <w:shd w:val="clear" w:color="auto" w:fill="FFFFFF"/>
              </w:rPr>
            </w:pPr>
          </w:p>
          <w:p w14:paraId="0117C897" w14:textId="478D3147" w:rsidR="00D94E54" w:rsidRDefault="004E4382" w:rsidP="002D0222">
            <w:pPr>
              <w:spacing w:after="0"/>
              <w:rPr>
                <w:rFonts w:cs="Arial"/>
                <w:shd w:val="clear" w:color="auto" w:fill="FFFFFF"/>
              </w:rPr>
            </w:pPr>
            <w:r>
              <w:rPr>
                <w:rFonts w:cs="Arial"/>
                <w:shd w:val="clear" w:color="auto" w:fill="FFFFFF"/>
              </w:rPr>
              <w:t>The Strategic framework</w:t>
            </w:r>
            <w:r w:rsidR="00E67E53">
              <w:rPr>
                <w:rFonts w:cs="Arial"/>
                <w:shd w:val="clear" w:color="auto" w:fill="FFFFFF"/>
              </w:rPr>
              <w:t xml:space="preserve"> map</w:t>
            </w:r>
            <w:r w:rsidR="00A62AF8">
              <w:rPr>
                <w:rFonts w:cs="Arial"/>
                <w:shd w:val="clear" w:color="auto" w:fill="FFFFFF"/>
              </w:rPr>
              <w:t xml:space="preserve">, </w:t>
            </w:r>
            <w:r w:rsidR="00E67E53">
              <w:rPr>
                <w:rFonts w:cs="Arial"/>
                <w:shd w:val="clear" w:color="auto" w:fill="FFFFFF"/>
              </w:rPr>
              <w:t xml:space="preserve">SFM-002 </w:t>
            </w:r>
            <w:r w:rsidR="00A62AF8">
              <w:rPr>
                <w:rFonts w:cs="Arial"/>
                <w:shd w:val="clear" w:color="auto" w:fill="FFFFFF"/>
              </w:rPr>
              <w:t xml:space="preserve">Brisbane </w:t>
            </w:r>
            <w:proofErr w:type="spellStart"/>
            <w:r w:rsidR="00A62AF8">
              <w:rPr>
                <w:rFonts w:cs="Arial"/>
                <w:shd w:val="clear" w:color="auto" w:fill="FFFFFF"/>
              </w:rPr>
              <w:t>CityShape</w:t>
            </w:r>
            <w:proofErr w:type="spellEnd"/>
            <w:r w:rsidR="009317F8">
              <w:rPr>
                <w:rFonts w:cs="Arial"/>
                <w:shd w:val="clear" w:color="auto" w:fill="FFFFFF"/>
              </w:rPr>
              <w:t> </w:t>
            </w:r>
            <w:r w:rsidR="00A62AF8">
              <w:rPr>
                <w:rFonts w:cs="Arial"/>
                <w:shd w:val="clear" w:color="auto" w:fill="FFFFFF"/>
              </w:rPr>
              <w:t>2031</w:t>
            </w:r>
            <w:r>
              <w:rPr>
                <w:rFonts w:cs="Arial"/>
                <w:shd w:val="clear" w:color="auto" w:fill="FFFFFF"/>
              </w:rPr>
              <w:t xml:space="preserve"> </w:t>
            </w:r>
            <w:r w:rsidR="00E67E53">
              <w:rPr>
                <w:rFonts w:cs="Arial"/>
                <w:shd w:val="clear" w:color="auto" w:fill="FFFFFF"/>
              </w:rPr>
              <w:t xml:space="preserve">Land Use Strategic Framework Map </w:t>
            </w:r>
            <w:r>
              <w:rPr>
                <w:rFonts w:cs="Arial"/>
                <w:shd w:val="clear" w:color="auto" w:fill="FFFFFF"/>
              </w:rPr>
              <w:t xml:space="preserve">includes this area in the Suburban Living Area. These areas are generally included in the </w:t>
            </w:r>
            <w:proofErr w:type="gramStart"/>
            <w:r>
              <w:rPr>
                <w:rFonts w:cs="Arial"/>
                <w:shd w:val="clear" w:color="auto" w:fill="FFFFFF"/>
              </w:rPr>
              <w:t>Low density</w:t>
            </w:r>
            <w:proofErr w:type="gramEnd"/>
            <w:r>
              <w:rPr>
                <w:rFonts w:cs="Arial"/>
                <w:shd w:val="clear" w:color="auto" w:fill="FFFFFF"/>
              </w:rPr>
              <w:t xml:space="preserve"> residential zone in order to achieve the strategic outcome of lower</w:t>
            </w:r>
            <w:r w:rsidR="009317F8">
              <w:rPr>
                <w:rFonts w:cs="Arial"/>
                <w:shd w:val="clear" w:color="auto" w:fill="FFFFFF"/>
              </w:rPr>
              <w:t>-</w:t>
            </w:r>
            <w:r>
              <w:rPr>
                <w:rFonts w:cs="Arial"/>
                <w:shd w:val="clear" w:color="auto" w:fill="FFFFFF"/>
              </w:rPr>
              <w:t xml:space="preserve">density residential development. </w:t>
            </w:r>
            <w:r w:rsidR="00D94E54">
              <w:rPr>
                <w:rFonts w:cs="Arial"/>
                <w:shd w:val="clear" w:color="auto" w:fill="FFFFFF"/>
              </w:rPr>
              <w:t xml:space="preserve">The </w:t>
            </w:r>
            <w:proofErr w:type="gramStart"/>
            <w:r w:rsidR="00D94E54">
              <w:rPr>
                <w:rFonts w:cs="Arial"/>
                <w:shd w:val="clear" w:color="auto" w:fill="FFFFFF"/>
              </w:rPr>
              <w:t>Low density</w:t>
            </w:r>
            <w:proofErr w:type="gramEnd"/>
            <w:r w:rsidR="00D94E54">
              <w:rPr>
                <w:rFonts w:cs="Arial"/>
                <w:shd w:val="clear" w:color="auto" w:fill="FFFFFF"/>
              </w:rPr>
              <w:t xml:space="preserve"> residential zone does not prevent development from occurring on the site. The intent of the </w:t>
            </w:r>
            <w:proofErr w:type="gramStart"/>
            <w:r w:rsidR="00D94E54">
              <w:rPr>
                <w:rFonts w:cs="Arial"/>
                <w:shd w:val="clear" w:color="auto" w:fill="FFFFFF"/>
              </w:rPr>
              <w:t>Low density</w:t>
            </w:r>
            <w:proofErr w:type="gramEnd"/>
            <w:r w:rsidR="00D94E54">
              <w:rPr>
                <w:rFonts w:cs="Arial"/>
                <w:shd w:val="clear" w:color="auto" w:fill="FFFFFF"/>
              </w:rPr>
              <w:t xml:space="preserve"> residential zone is to provide for a variety of low</w:t>
            </w:r>
            <w:r w:rsidR="009317F8">
              <w:rPr>
                <w:rFonts w:cs="Arial"/>
                <w:shd w:val="clear" w:color="auto" w:fill="FFFFFF"/>
              </w:rPr>
              <w:t>-</w:t>
            </w:r>
            <w:r w:rsidR="00D94E54">
              <w:rPr>
                <w:rFonts w:cs="Arial"/>
                <w:shd w:val="clear" w:color="auto" w:fill="FFFFFF"/>
              </w:rPr>
              <w:t>density dwelling</w:t>
            </w:r>
            <w:r>
              <w:rPr>
                <w:rFonts w:cs="Arial"/>
                <w:shd w:val="clear" w:color="auto" w:fill="FFFFFF"/>
              </w:rPr>
              <w:t>s.</w:t>
            </w:r>
            <w:r w:rsidR="00D94E54">
              <w:rPr>
                <w:rFonts w:cs="Arial"/>
                <w:shd w:val="clear" w:color="auto" w:fill="FFFFFF"/>
              </w:rPr>
              <w:t xml:space="preserve"> </w:t>
            </w:r>
          </w:p>
          <w:p w14:paraId="43D89426" w14:textId="328F12B4" w:rsidR="00F31109" w:rsidRDefault="00F31109" w:rsidP="002D0222">
            <w:pPr>
              <w:spacing w:after="0"/>
              <w:rPr>
                <w:rFonts w:cs="Arial"/>
                <w:shd w:val="clear" w:color="auto" w:fill="FFFFFF"/>
              </w:rPr>
            </w:pPr>
          </w:p>
          <w:p w14:paraId="0876F4B1" w14:textId="0EA84A09" w:rsidR="000433F3" w:rsidRPr="00962B2D" w:rsidRDefault="00F31109" w:rsidP="002D0222">
            <w:pPr>
              <w:spacing w:after="0"/>
              <w:rPr>
                <w:rFonts w:cs="Arial"/>
                <w:shd w:val="clear" w:color="auto" w:fill="FFFFFF"/>
              </w:rPr>
            </w:pPr>
            <w:r>
              <w:rPr>
                <w:rFonts w:cs="Arial"/>
                <w:shd w:val="clear" w:color="auto" w:fill="FFFFFF"/>
              </w:rPr>
              <w:t>The proposed amendment</w:t>
            </w:r>
            <w:r w:rsidR="004E4382">
              <w:rPr>
                <w:rFonts w:cs="Arial"/>
                <w:shd w:val="clear" w:color="auto" w:fill="FFFFFF"/>
              </w:rPr>
              <w:t xml:space="preserve"> also includes a change to the</w:t>
            </w:r>
            <w:r w:rsidR="00D94E54">
              <w:rPr>
                <w:rFonts w:cs="Arial"/>
                <w:shd w:val="clear" w:color="auto" w:fill="FFFFFF"/>
              </w:rPr>
              <w:t xml:space="preserve"> </w:t>
            </w:r>
            <w:proofErr w:type="gramStart"/>
            <w:r w:rsidR="00D94E54">
              <w:rPr>
                <w:rFonts w:cs="Arial"/>
                <w:shd w:val="clear" w:color="auto" w:fill="FFFFFF"/>
              </w:rPr>
              <w:t>Low density</w:t>
            </w:r>
            <w:proofErr w:type="gramEnd"/>
            <w:r w:rsidR="00D94E54">
              <w:rPr>
                <w:rFonts w:cs="Arial"/>
                <w:shd w:val="clear" w:color="auto" w:fill="FFFFFF"/>
              </w:rPr>
              <w:t xml:space="preserve"> residential zone code to require a structure plan to be prepared for sites more than 7,000</w:t>
            </w:r>
            <w:r w:rsidR="009317F8">
              <w:rPr>
                <w:rFonts w:cs="Arial"/>
                <w:shd w:val="clear" w:color="auto" w:fill="FFFFFF"/>
              </w:rPr>
              <w:t> </w:t>
            </w:r>
            <w:r w:rsidR="00D94E54">
              <w:rPr>
                <w:rFonts w:cs="Arial"/>
                <w:shd w:val="clear" w:color="auto" w:fill="FFFFFF"/>
              </w:rPr>
              <w:t>m</w:t>
            </w:r>
            <w:r w:rsidR="00D94E54" w:rsidRPr="009751AF">
              <w:rPr>
                <w:rFonts w:cs="Arial"/>
                <w:shd w:val="clear" w:color="auto" w:fill="FFFFFF"/>
                <w:vertAlign w:val="superscript"/>
              </w:rPr>
              <w:t>2</w:t>
            </w:r>
            <w:r w:rsidR="00D94E54">
              <w:rPr>
                <w:rFonts w:cs="Arial"/>
                <w:shd w:val="clear" w:color="auto" w:fill="FFFFFF"/>
              </w:rPr>
              <w:t xml:space="preserve">. </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5695E7BE" w14:textId="77777777" w:rsidR="00D94E54" w:rsidRPr="002A53B6" w:rsidRDefault="00D94E54" w:rsidP="00D000E5">
            <w:pPr>
              <w:pStyle w:val="SubmissionTable"/>
              <w:spacing w:before="0" w:after="0"/>
              <w:rPr>
                <w:rFonts w:cs="Arial"/>
                <w:sz w:val="20"/>
                <w:lang w:val="en-AU"/>
              </w:rPr>
            </w:pPr>
            <w:r w:rsidRPr="002A53B6">
              <w:rPr>
                <w:rFonts w:cs="Arial"/>
                <w:sz w:val="20"/>
                <w:lang w:val="en-AU"/>
              </w:rPr>
              <w:lastRenderedPageBreak/>
              <w:t>No change</w:t>
            </w:r>
          </w:p>
        </w:tc>
      </w:tr>
      <w:tr w:rsidR="00D94E54" w:rsidRPr="002A53B6" w14:paraId="771930DF" w14:textId="77777777" w:rsidTr="00D7220D">
        <w:trPr>
          <w:trHeight w:val="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1142A19C" w14:textId="7DC984D2" w:rsidR="00D94E54" w:rsidRPr="00A748BF" w:rsidRDefault="00D94E54" w:rsidP="00A748BF">
            <w:pPr>
              <w:spacing w:after="0"/>
              <w:rPr>
                <w:lang w:val="en-AU"/>
              </w:rPr>
            </w:pPr>
            <w:r w:rsidRPr="002A53B6">
              <w:t>MK-034</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43E9F4F" w14:textId="3AA99175" w:rsidR="00D94E54" w:rsidRPr="00F83F89" w:rsidRDefault="0039027D" w:rsidP="002D0222">
            <w:pPr>
              <w:spacing w:after="0"/>
              <w:rPr>
                <w:shd w:val="clear" w:color="auto" w:fill="FFFFFF"/>
              </w:rPr>
            </w:pPr>
            <w:r>
              <w:rPr>
                <w:shd w:val="clear" w:color="auto" w:fill="FFFFFF"/>
              </w:rPr>
              <w:t>The s</w:t>
            </w:r>
            <w:r w:rsidR="00D94E54" w:rsidRPr="00F83F89">
              <w:rPr>
                <w:shd w:val="clear" w:color="auto" w:fill="FFFFFF"/>
              </w:rPr>
              <w:t xml:space="preserve">ubmitter opposes the proposed rezoning of </w:t>
            </w:r>
            <w:r w:rsidR="00F41004" w:rsidRPr="00F83F89">
              <w:rPr>
                <w:shd w:val="clear" w:color="auto" w:fill="FFFFFF"/>
              </w:rPr>
              <w:t>44</w:t>
            </w:r>
            <w:r w:rsidR="00F41004">
              <w:rPr>
                <w:shd w:val="clear" w:color="auto" w:fill="FFFFFF"/>
              </w:rPr>
              <w:t>A</w:t>
            </w:r>
            <w:r w:rsidR="00F31109">
              <w:rPr>
                <w:shd w:val="clear" w:color="auto" w:fill="FFFFFF"/>
              </w:rPr>
              <w:t xml:space="preserve"> </w:t>
            </w:r>
            <w:r w:rsidR="00D94E54" w:rsidRPr="00F83F89">
              <w:rPr>
                <w:shd w:val="clear" w:color="auto" w:fill="FFFFFF"/>
              </w:rPr>
              <w:t>Scenic Road, Kenmore</w:t>
            </w:r>
            <w:r w:rsidR="009317F8">
              <w:rPr>
                <w:shd w:val="clear" w:color="auto" w:fill="FFFFFF"/>
              </w:rPr>
              <w:t>,</w:t>
            </w:r>
            <w:r w:rsidR="00D94E54" w:rsidRPr="00F83F89">
              <w:rPr>
                <w:shd w:val="clear" w:color="auto" w:fill="FFFFFF"/>
              </w:rPr>
              <w:t xml:space="preserve"> from </w:t>
            </w:r>
            <w:r w:rsidR="00F81EE1">
              <w:rPr>
                <w:shd w:val="clear" w:color="auto" w:fill="FFFFFF"/>
              </w:rPr>
              <w:t xml:space="preserve">the </w:t>
            </w:r>
            <w:r w:rsidR="00D94E54" w:rsidRPr="00F83F89">
              <w:rPr>
                <w:shd w:val="clear" w:color="auto" w:fill="FFFFFF"/>
              </w:rPr>
              <w:t xml:space="preserve">Emerging community zone to </w:t>
            </w:r>
            <w:r w:rsidR="00F81EE1">
              <w:rPr>
                <w:shd w:val="clear" w:color="auto" w:fill="FFFFFF"/>
              </w:rPr>
              <w:t xml:space="preserve">the </w:t>
            </w:r>
            <w:proofErr w:type="gramStart"/>
            <w:r w:rsidR="00D94E54" w:rsidRPr="00F83F89">
              <w:rPr>
                <w:shd w:val="clear" w:color="auto" w:fill="FFFFFF"/>
              </w:rPr>
              <w:t>Low density</w:t>
            </w:r>
            <w:proofErr w:type="gramEnd"/>
            <w:r w:rsidR="00D94E54" w:rsidRPr="00F83F89">
              <w:rPr>
                <w:shd w:val="clear" w:color="auto" w:fill="FFFFFF"/>
              </w:rPr>
              <w:t xml:space="preserve"> residential zone for the following reasons</w:t>
            </w:r>
            <w:r w:rsidR="007E4047">
              <w:rPr>
                <w:shd w:val="clear" w:color="auto" w:fill="FFFFFF"/>
              </w:rPr>
              <w:t>.</w:t>
            </w:r>
            <w:r w:rsidR="00D94E54" w:rsidRPr="00F83F89">
              <w:rPr>
                <w:shd w:val="clear" w:color="auto" w:fill="FFFFFF"/>
              </w:rPr>
              <w:t xml:space="preserve"> </w:t>
            </w:r>
          </w:p>
          <w:p w14:paraId="31727809" w14:textId="5B2C228A" w:rsidR="00D94E54" w:rsidRPr="00F83F89" w:rsidRDefault="00D94E54" w:rsidP="002D0222">
            <w:pPr>
              <w:pStyle w:val="ListParagraph"/>
              <w:numPr>
                <w:ilvl w:val="0"/>
                <w:numId w:val="18"/>
              </w:numPr>
              <w:spacing w:after="0"/>
              <w:rPr>
                <w:shd w:val="clear" w:color="auto" w:fill="FFFFFF"/>
              </w:rPr>
            </w:pPr>
            <w:r w:rsidRPr="00F83F89">
              <w:rPr>
                <w:shd w:val="clear" w:color="auto" w:fill="FFFFFF"/>
              </w:rPr>
              <w:t>If the site was subdivided as allowed by the proposed rezoning, increased stormwater flows would be generated to the adjoining property</w:t>
            </w:r>
            <w:r>
              <w:rPr>
                <w:shd w:val="clear" w:color="auto" w:fill="FFFFFF"/>
              </w:rPr>
              <w:t>.</w:t>
            </w:r>
          </w:p>
          <w:p w14:paraId="0F73BF0C" w14:textId="78B48709" w:rsidR="00D94E54" w:rsidRPr="00F83F89" w:rsidRDefault="00D94E54" w:rsidP="002D0222">
            <w:pPr>
              <w:pStyle w:val="ListParagraph"/>
              <w:numPr>
                <w:ilvl w:val="0"/>
                <w:numId w:val="18"/>
              </w:numPr>
              <w:spacing w:after="0"/>
              <w:rPr>
                <w:shd w:val="clear" w:color="auto" w:fill="FFFFFF"/>
              </w:rPr>
            </w:pPr>
            <w:r w:rsidRPr="00F83F89">
              <w:rPr>
                <w:shd w:val="clear" w:color="auto" w:fill="FFFFFF"/>
              </w:rPr>
              <w:t>The character of Scenic Road is large</w:t>
            </w:r>
            <w:r w:rsidR="00F31109">
              <w:rPr>
                <w:shd w:val="clear" w:color="auto" w:fill="FFFFFF"/>
              </w:rPr>
              <w:t>,</w:t>
            </w:r>
            <w:r w:rsidRPr="00F83F89">
              <w:rPr>
                <w:shd w:val="clear" w:color="auto" w:fill="FFFFFF"/>
              </w:rPr>
              <w:t xml:space="preserve"> leafy blocks that should be preserved. </w:t>
            </w:r>
          </w:p>
          <w:p w14:paraId="6674F7AA" w14:textId="35CD59C9" w:rsidR="00D94E54" w:rsidRDefault="00D94E54" w:rsidP="003239EB">
            <w:pPr>
              <w:pStyle w:val="ListParagraph"/>
              <w:keepNext/>
              <w:keepLines/>
              <w:numPr>
                <w:ilvl w:val="0"/>
                <w:numId w:val="18"/>
              </w:numPr>
              <w:spacing w:after="0"/>
              <w:ind w:left="357" w:hanging="357"/>
              <w:rPr>
                <w:shd w:val="clear" w:color="auto" w:fill="FFFFFF"/>
              </w:rPr>
            </w:pPr>
            <w:r w:rsidRPr="00F83F89">
              <w:rPr>
                <w:shd w:val="clear" w:color="auto" w:fill="FFFFFF"/>
              </w:rPr>
              <w:lastRenderedPageBreak/>
              <w:t>Scenic Road serve</w:t>
            </w:r>
            <w:r>
              <w:rPr>
                <w:shd w:val="clear" w:color="auto" w:fill="FFFFFF"/>
              </w:rPr>
              <w:t>s</w:t>
            </w:r>
            <w:r w:rsidRPr="00F83F89">
              <w:rPr>
                <w:shd w:val="clear" w:color="auto" w:fill="FFFFFF"/>
              </w:rPr>
              <w:t xml:space="preserve"> as </w:t>
            </w:r>
            <w:r w:rsidR="00F31109">
              <w:rPr>
                <w:shd w:val="clear" w:color="auto" w:fill="FFFFFF"/>
              </w:rPr>
              <w:t xml:space="preserve">a </w:t>
            </w:r>
            <w:r w:rsidRPr="00F83F89">
              <w:rPr>
                <w:shd w:val="clear" w:color="auto" w:fill="FFFFFF"/>
              </w:rPr>
              <w:t>wildlife refuge</w:t>
            </w:r>
            <w:r>
              <w:rPr>
                <w:shd w:val="clear" w:color="auto" w:fill="FFFFFF"/>
              </w:rPr>
              <w:t xml:space="preserve"> and </w:t>
            </w:r>
            <w:r w:rsidRPr="00F83F89">
              <w:rPr>
                <w:shd w:val="clear" w:color="auto" w:fill="FFFFFF"/>
              </w:rPr>
              <w:t>is home to an abundance of wildlife</w:t>
            </w:r>
            <w:r w:rsidR="00F31109">
              <w:rPr>
                <w:shd w:val="clear" w:color="auto" w:fill="FFFFFF"/>
              </w:rPr>
              <w:t>,</w:t>
            </w:r>
            <w:r w:rsidRPr="00F83F89">
              <w:rPr>
                <w:shd w:val="clear" w:color="auto" w:fill="FFFFFF"/>
              </w:rPr>
              <w:t xml:space="preserve"> including koalas, echidnas, bandicoots, possums, frogs, many </w:t>
            </w:r>
            <w:proofErr w:type="gramStart"/>
            <w:r w:rsidRPr="00F83F89">
              <w:rPr>
                <w:shd w:val="clear" w:color="auto" w:fill="FFFFFF"/>
              </w:rPr>
              <w:t>reptiles</w:t>
            </w:r>
            <w:proofErr w:type="gramEnd"/>
            <w:r w:rsidRPr="00F83F89">
              <w:rPr>
                <w:shd w:val="clear" w:color="auto" w:fill="FFFFFF"/>
              </w:rPr>
              <w:t xml:space="preserve"> and bird populations. </w:t>
            </w:r>
          </w:p>
          <w:p w14:paraId="304E1976" w14:textId="45193483" w:rsidR="00D94E54" w:rsidRPr="00F83F89" w:rsidRDefault="00D94E54" w:rsidP="002D0222">
            <w:pPr>
              <w:pStyle w:val="ListParagraph"/>
              <w:numPr>
                <w:ilvl w:val="0"/>
                <w:numId w:val="18"/>
              </w:numPr>
              <w:spacing w:after="0"/>
              <w:rPr>
                <w:shd w:val="clear" w:color="auto" w:fill="FFFFFF"/>
              </w:rPr>
            </w:pPr>
            <w:r w:rsidRPr="00F83F89">
              <w:rPr>
                <w:shd w:val="clear" w:color="auto" w:fill="FFFFFF"/>
              </w:rPr>
              <w:t xml:space="preserve">The proposed rezoning does not adhere to the </w:t>
            </w:r>
            <w:r w:rsidR="00747E1E" w:rsidRPr="00747E1E">
              <w:rPr>
                <w:shd w:val="clear" w:color="auto" w:fill="FFFFFF"/>
              </w:rPr>
              <w:t>BFP</w:t>
            </w:r>
            <w:r w:rsidRPr="00747E1E">
              <w:rPr>
                <w:shd w:val="clear" w:color="auto" w:fill="FFFFFF"/>
              </w:rPr>
              <w:t xml:space="preserve"> </w:t>
            </w:r>
            <w:r w:rsidRPr="00F83F89">
              <w:rPr>
                <w:shd w:val="clear" w:color="auto" w:fill="FFFFFF"/>
              </w:rPr>
              <w:t xml:space="preserve">principles 4.4 and 4.2. </w:t>
            </w:r>
            <w:r w:rsidR="00F31109">
              <w:rPr>
                <w:shd w:val="clear" w:color="auto" w:fill="FFFFFF"/>
              </w:rPr>
              <w:t>I</w:t>
            </w:r>
            <w:r w:rsidRPr="00F83F89">
              <w:rPr>
                <w:shd w:val="clear" w:color="auto" w:fill="FFFFFF"/>
              </w:rPr>
              <w:t xml:space="preserve">t does not protect the character and heritage of this part of </w:t>
            </w:r>
            <w:proofErr w:type="gramStart"/>
            <w:r w:rsidRPr="00F83F89">
              <w:rPr>
                <w:shd w:val="clear" w:color="auto" w:fill="FFFFFF"/>
              </w:rPr>
              <w:t>Brisbane, and</w:t>
            </w:r>
            <w:proofErr w:type="gramEnd"/>
            <w:r w:rsidRPr="00F83F89">
              <w:rPr>
                <w:shd w:val="clear" w:color="auto" w:fill="FFFFFF"/>
              </w:rPr>
              <w:t xml:space="preserve"> does not 'fit in with its surroundings'</w:t>
            </w:r>
            <w:r w:rsidR="00A27205">
              <w:rPr>
                <w:shd w:val="clear" w:color="auto" w:fill="FFFFFF"/>
              </w:rPr>
              <w: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1F473040" w14:textId="1B09C2C1" w:rsidR="000C0C84" w:rsidRDefault="000C0C84" w:rsidP="002D0222">
            <w:pPr>
              <w:spacing w:after="0"/>
              <w:rPr>
                <w:lang w:val="en-AU"/>
              </w:rPr>
            </w:pPr>
            <w:r>
              <w:rPr>
                <w:lang w:val="en-AU"/>
              </w:rPr>
              <w:lastRenderedPageBreak/>
              <w:t xml:space="preserve">The proposed zoning changes from the Emerging community zone to the </w:t>
            </w:r>
            <w:proofErr w:type="gramStart"/>
            <w:r>
              <w:rPr>
                <w:lang w:val="en-AU"/>
              </w:rPr>
              <w:t>Low density</w:t>
            </w:r>
            <w:proofErr w:type="gramEnd"/>
            <w:r>
              <w:rPr>
                <w:lang w:val="en-AU"/>
              </w:rPr>
              <w:t xml:space="preserve"> residential zone was initiated by Council </w:t>
            </w:r>
            <w:r w:rsidR="00FD04F8">
              <w:rPr>
                <w:lang w:val="en-AU"/>
              </w:rPr>
              <w:t xml:space="preserve">as an action from </w:t>
            </w:r>
            <w:r>
              <w:rPr>
                <w:lang w:val="en-AU"/>
              </w:rPr>
              <w:t xml:space="preserve">Brisbane consultation feedback that helped to inform </w:t>
            </w:r>
            <w:r w:rsidRPr="009041F2">
              <w:rPr>
                <w:lang w:val="en-AU"/>
              </w:rPr>
              <w:t>BFP</w:t>
            </w:r>
            <w:r w:rsidR="00FD04F8">
              <w:rPr>
                <w:lang w:val="en-AU"/>
              </w:rPr>
              <w:t xml:space="preserve"> - </w:t>
            </w:r>
          </w:p>
          <w:p w14:paraId="0912BE8D" w14:textId="7D89A0F7" w:rsidR="000C0C84" w:rsidRPr="0086238D" w:rsidRDefault="000C0C84" w:rsidP="002D0222">
            <w:pPr>
              <w:spacing w:after="0"/>
              <w:rPr>
                <w:i/>
                <w:iCs/>
              </w:rPr>
            </w:pPr>
            <w:r w:rsidRPr="003C19A7">
              <w:rPr>
                <w:i/>
                <w:iCs/>
              </w:rPr>
              <w:t>Ensure that suburban development fits in with its surroundings. Audit Emerging Community land and rezone to Low Density Residential land where appropriate.</w:t>
            </w:r>
          </w:p>
          <w:p w14:paraId="06062DA7" w14:textId="77777777" w:rsidR="0076693E" w:rsidRDefault="0076693E" w:rsidP="002D0222">
            <w:pPr>
              <w:spacing w:after="0"/>
              <w:rPr>
                <w:lang w:val="en-AU"/>
              </w:rPr>
            </w:pPr>
          </w:p>
          <w:p w14:paraId="709D2B48" w14:textId="712AA066" w:rsidR="0076693E" w:rsidRDefault="000C0C84" w:rsidP="006470FF">
            <w:pPr>
              <w:keepNext/>
              <w:keepLines/>
              <w:spacing w:after="0"/>
              <w:rPr>
                <w:lang w:val="en-AU"/>
              </w:rPr>
            </w:pPr>
            <w:r>
              <w:rPr>
                <w:lang w:val="en-AU"/>
              </w:rPr>
              <w:lastRenderedPageBreak/>
              <w:t>The</w:t>
            </w:r>
            <w:r w:rsidRPr="009E0412">
              <w:rPr>
                <w:lang w:val="en-AU"/>
              </w:rPr>
              <w:t xml:space="preserve"> audit </w:t>
            </w:r>
            <w:r w:rsidR="00FD04F8">
              <w:rPr>
                <w:lang w:val="en-AU"/>
              </w:rPr>
              <w:t>assessed the suitability of lots changing fr</w:t>
            </w:r>
            <w:r w:rsidR="00F81EE1">
              <w:rPr>
                <w:lang w:val="en-AU"/>
              </w:rPr>
              <w:t>o</w:t>
            </w:r>
            <w:r w:rsidR="00FD04F8">
              <w:rPr>
                <w:lang w:val="en-AU"/>
              </w:rPr>
              <w:t xml:space="preserve">m the Emerging community zone to the </w:t>
            </w:r>
            <w:proofErr w:type="gramStart"/>
            <w:r w:rsidR="00FD04F8">
              <w:rPr>
                <w:lang w:val="en-AU"/>
              </w:rPr>
              <w:t>Low density</w:t>
            </w:r>
            <w:proofErr w:type="gramEnd"/>
            <w:r w:rsidR="00FD04F8">
              <w:rPr>
                <w:lang w:val="en-AU"/>
              </w:rPr>
              <w:t xml:space="preserve"> residential zone against factors such as whether or not the area is in a neighbourhood plan and the number and type of constraints.</w:t>
            </w:r>
          </w:p>
          <w:p w14:paraId="48CF2CBE" w14:textId="77777777" w:rsidR="00F31109" w:rsidRDefault="00F31109" w:rsidP="002D0222">
            <w:pPr>
              <w:spacing w:after="0"/>
              <w:rPr>
                <w:rFonts w:cs="Arial"/>
                <w:shd w:val="clear" w:color="auto" w:fill="FFFFFF"/>
              </w:rPr>
            </w:pPr>
          </w:p>
          <w:p w14:paraId="3F5727E6" w14:textId="6CC8A8B4" w:rsidR="00D94E54" w:rsidRDefault="00AE30F4" w:rsidP="002D0222">
            <w:pPr>
              <w:spacing w:after="0"/>
              <w:rPr>
                <w:rFonts w:cs="Arial"/>
                <w:shd w:val="clear" w:color="auto" w:fill="FFFFFF"/>
              </w:rPr>
            </w:pPr>
            <w:r>
              <w:rPr>
                <w:rFonts w:cs="Arial"/>
                <w:shd w:val="clear" w:color="auto" w:fill="FFFFFF"/>
              </w:rPr>
              <w:t xml:space="preserve">The property at </w:t>
            </w:r>
            <w:r w:rsidR="00D94E54">
              <w:rPr>
                <w:rFonts w:cs="Arial"/>
                <w:shd w:val="clear" w:color="auto" w:fill="FFFFFF"/>
              </w:rPr>
              <w:t>44A Scenic Road, Kenmore</w:t>
            </w:r>
            <w:r w:rsidR="00F81EE1">
              <w:rPr>
                <w:rFonts w:cs="Arial"/>
                <w:shd w:val="clear" w:color="auto" w:fill="FFFFFF"/>
              </w:rPr>
              <w:t>,</w:t>
            </w:r>
            <w:r w:rsidR="00D94E54">
              <w:rPr>
                <w:rFonts w:cs="Arial"/>
                <w:shd w:val="clear" w:color="auto" w:fill="FFFFFF"/>
              </w:rPr>
              <w:t xml:space="preserve"> w</w:t>
            </w:r>
            <w:r>
              <w:rPr>
                <w:rFonts w:cs="Arial"/>
                <w:shd w:val="clear" w:color="auto" w:fill="FFFFFF"/>
              </w:rPr>
              <w:t>as</w:t>
            </w:r>
            <w:r w:rsidR="00D94E54">
              <w:rPr>
                <w:rFonts w:cs="Arial"/>
                <w:shd w:val="clear" w:color="auto" w:fill="FFFFFF"/>
              </w:rPr>
              <w:t xml:space="preserve"> identified </w:t>
            </w:r>
            <w:r w:rsidR="00F0447C">
              <w:rPr>
                <w:rFonts w:cs="Arial"/>
                <w:shd w:val="clear" w:color="auto" w:fill="FFFFFF"/>
              </w:rPr>
              <w:t xml:space="preserve">through the audit </w:t>
            </w:r>
            <w:r w:rsidR="00D94E54">
              <w:rPr>
                <w:rFonts w:cs="Arial"/>
                <w:shd w:val="clear" w:color="auto" w:fill="FFFFFF"/>
              </w:rPr>
              <w:t xml:space="preserve">as </w:t>
            </w:r>
            <w:r w:rsidR="00F0447C">
              <w:rPr>
                <w:rFonts w:cs="Arial"/>
                <w:shd w:val="clear" w:color="auto" w:fill="FFFFFF"/>
              </w:rPr>
              <w:t xml:space="preserve">being suitable </w:t>
            </w:r>
            <w:r w:rsidR="00F81EE1">
              <w:rPr>
                <w:rFonts w:cs="Arial"/>
                <w:shd w:val="clear" w:color="auto" w:fill="FFFFFF"/>
              </w:rPr>
              <w:t xml:space="preserve">for a </w:t>
            </w:r>
            <w:r w:rsidR="00F0447C">
              <w:rPr>
                <w:rFonts w:cs="Arial"/>
                <w:shd w:val="clear" w:color="auto" w:fill="FFFFFF"/>
              </w:rPr>
              <w:t xml:space="preserve">change </w:t>
            </w:r>
            <w:r w:rsidR="00F81EE1">
              <w:rPr>
                <w:rFonts w:cs="Arial"/>
                <w:shd w:val="clear" w:color="auto" w:fill="FFFFFF"/>
              </w:rPr>
              <w:t xml:space="preserve">of </w:t>
            </w:r>
            <w:r w:rsidR="00F0447C">
              <w:rPr>
                <w:rFonts w:cs="Arial"/>
                <w:shd w:val="clear" w:color="auto" w:fill="FFFFFF"/>
              </w:rPr>
              <w:t>zone</w:t>
            </w:r>
            <w:r>
              <w:rPr>
                <w:rFonts w:cs="Arial"/>
                <w:shd w:val="clear" w:color="auto" w:fill="FFFFFF"/>
              </w:rPr>
              <w:t xml:space="preserve"> as it is largely unconstrained and suitable for low</w:t>
            </w:r>
            <w:r w:rsidR="00F81EE1">
              <w:rPr>
                <w:rFonts w:cs="Arial"/>
                <w:shd w:val="clear" w:color="auto" w:fill="FFFFFF"/>
              </w:rPr>
              <w:t>-</w:t>
            </w:r>
            <w:r>
              <w:rPr>
                <w:rFonts w:cs="Arial"/>
                <w:shd w:val="clear" w:color="auto" w:fill="FFFFFF"/>
              </w:rPr>
              <w:t>density residential development</w:t>
            </w:r>
            <w:r w:rsidR="00F0447C">
              <w:rPr>
                <w:rFonts w:cs="Arial"/>
                <w:shd w:val="clear" w:color="auto" w:fill="FFFFFF"/>
              </w:rPr>
              <w:t>.</w:t>
            </w:r>
          </w:p>
          <w:p w14:paraId="0037AA55" w14:textId="77777777" w:rsidR="0076693E" w:rsidRDefault="0076693E" w:rsidP="002D0222">
            <w:pPr>
              <w:spacing w:after="0"/>
              <w:rPr>
                <w:rFonts w:cs="Arial"/>
                <w:shd w:val="clear" w:color="auto" w:fill="FFFFFF"/>
              </w:rPr>
            </w:pPr>
          </w:p>
          <w:p w14:paraId="0DA26CE3" w14:textId="63F54B8E" w:rsidR="00D94E54" w:rsidRDefault="00D94E54" w:rsidP="002D0222">
            <w:pPr>
              <w:spacing w:after="0"/>
              <w:rPr>
                <w:rFonts w:cs="Arial"/>
                <w:shd w:val="clear" w:color="auto" w:fill="FFFFFF"/>
              </w:rPr>
            </w:pPr>
            <w:r>
              <w:rPr>
                <w:rFonts w:cs="Arial"/>
                <w:shd w:val="clear" w:color="auto" w:fill="FFFFFF"/>
              </w:rPr>
              <w:t>The adjoining properties</w:t>
            </w:r>
            <w:r w:rsidR="00AE30F4">
              <w:rPr>
                <w:rFonts w:cs="Arial"/>
                <w:shd w:val="clear" w:color="auto" w:fill="FFFFFF"/>
              </w:rPr>
              <w:t xml:space="preserve"> in the Emerging community zone</w:t>
            </w:r>
            <w:r>
              <w:rPr>
                <w:rFonts w:cs="Arial"/>
                <w:shd w:val="clear" w:color="auto" w:fill="FFFFFF"/>
              </w:rPr>
              <w:t>, both adjacent and at the rear, were</w:t>
            </w:r>
            <w:r w:rsidR="00F0447C">
              <w:rPr>
                <w:rFonts w:cs="Arial"/>
                <w:shd w:val="clear" w:color="auto" w:fill="FFFFFF"/>
              </w:rPr>
              <w:t xml:space="preserve"> not considered suitable </w:t>
            </w:r>
            <w:r w:rsidR="00F81EE1">
              <w:rPr>
                <w:rFonts w:cs="Arial"/>
                <w:shd w:val="clear" w:color="auto" w:fill="FFFFFF"/>
              </w:rPr>
              <w:t>for</w:t>
            </w:r>
            <w:r w:rsidR="00F0447C">
              <w:rPr>
                <w:rFonts w:cs="Arial"/>
                <w:shd w:val="clear" w:color="auto" w:fill="FFFFFF"/>
              </w:rPr>
              <w:t xml:space="preserve"> </w:t>
            </w:r>
            <w:r w:rsidR="00F81EE1">
              <w:rPr>
                <w:rFonts w:cs="Arial"/>
                <w:shd w:val="clear" w:color="auto" w:fill="FFFFFF"/>
              </w:rPr>
              <w:t xml:space="preserve">a </w:t>
            </w:r>
            <w:r w:rsidR="00F0447C">
              <w:rPr>
                <w:rFonts w:cs="Arial"/>
                <w:shd w:val="clear" w:color="auto" w:fill="FFFFFF"/>
              </w:rPr>
              <w:t xml:space="preserve">change </w:t>
            </w:r>
            <w:r w:rsidR="00F81EE1">
              <w:rPr>
                <w:rFonts w:cs="Arial"/>
                <w:shd w:val="clear" w:color="auto" w:fill="FFFFFF"/>
              </w:rPr>
              <w:t xml:space="preserve">of </w:t>
            </w:r>
            <w:r w:rsidR="00F0447C">
              <w:rPr>
                <w:rFonts w:cs="Arial"/>
                <w:shd w:val="clear" w:color="auto" w:fill="FFFFFF"/>
              </w:rPr>
              <w:t>zone</w:t>
            </w:r>
            <w:r w:rsidR="00F81EE1">
              <w:rPr>
                <w:rFonts w:cs="Arial"/>
                <w:shd w:val="clear" w:color="auto" w:fill="FFFFFF"/>
              </w:rPr>
              <w:t>,</w:t>
            </w:r>
            <w:r w:rsidR="00AE30F4">
              <w:rPr>
                <w:rFonts w:cs="Arial"/>
                <w:shd w:val="clear" w:color="auto" w:fill="FFFFFF"/>
              </w:rPr>
              <w:t xml:space="preserve"> as they are subject to further development constraints</w:t>
            </w:r>
            <w:r>
              <w:rPr>
                <w:rFonts w:cs="Arial"/>
                <w:shd w:val="clear" w:color="auto" w:fill="FFFFFF"/>
              </w:rPr>
              <w:t xml:space="preserve">. The properties backing onto </w:t>
            </w:r>
            <w:proofErr w:type="spellStart"/>
            <w:r>
              <w:rPr>
                <w:rFonts w:cs="Arial"/>
                <w:shd w:val="clear" w:color="auto" w:fill="FFFFFF"/>
              </w:rPr>
              <w:t>Moggill</w:t>
            </w:r>
            <w:proofErr w:type="spellEnd"/>
            <w:r>
              <w:rPr>
                <w:rFonts w:cs="Arial"/>
                <w:shd w:val="clear" w:color="auto" w:fill="FFFFFF"/>
              </w:rPr>
              <w:t xml:space="preserve"> Creek are also partially located in the Environmental management zone. Any proposed development of these lots would be </w:t>
            </w:r>
            <w:r w:rsidR="00F0447C">
              <w:rPr>
                <w:rFonts w:cs="Arial"/>
                <w:shd w:val="clear" w:color="auto" w:fill="FFFFFF"/>
              </w:rPr>
              <w:t>subject to further detailed planning</w:t>
            </w:r>
            <w:r>
              <w:rPr>
                <w:rFonts w:cs="Arial"/>
                <w:shd w:val="clear" w:color="auto" w:fill="FFFFFF"/>
              </w:rPr>
              <w:t>.</w:t>
            </w:r>
          </w:p>
          <w:p w14:paraId="55457230" w14:textId="77777777" w:rsidR="0076693E" w:rsidRDefault="0076693E" w:rsidP="002D0222">
            <w:pPr>
              <w:spacing w:after="0"/>
              <w:rPr>
                <w:rFonts w:cs="Arial"/>
                <w:shd w:val="clear" w:color="auto" w:fill="FFFFFF"/>
              </w:rPr>
            </w:pPr>
          </w:p>
          <w:p w14:paraId="5E28E6DE" w14:textId="5460781A" w:rsidR="000A405B" w:rsidRDefault="000A405B" w:rsidP="002D0222">
            <w:pPr>
              <w:spacing w:after="0"/>
              <w:rPr>
                <w:rFonts w:cs="Arial"/>
                <w:shd w:val="clear" w:color="auto" w:fill="FFFFFF"/>
              </w:rPr>
            </w:pPr>
            <w:r>
              <w:rPr>
                <w:rFonts w:cs="Arial"/>
                <w:shd w:val="clear" w:color="auto" w:fill="FFFFFF"/>
              </w:rPr>
              <w:t>The Emerging community zone does not prevent development but provides for the possibility of further development</w:t>
            </w:r>
            <w:r w:rsidR="00F81EE1">
              <w:rPr>
                <w:rFonts w:cs="Arial"/>
                <w:shd w:val="clear" w:color="auto" w:fill="FFFFFF"/>
              </w:rPr>
              <w:t>,</w:t>
            </w:r>
            <w:r>
              <w:rPr>
                <w:rFonts w:cs="Arial"/>
                <w:shd w:val="clear" w:color="auto" w:fill="FFFFFF"/>
              </w:rPr>
              <w:t xml:space="preserve"> subject to detailed planning, </w:t>
            </w:r>
            <w:proofErr w:type="gramStart"/>
            <w:r>
              <w:rPr>
                <w:rFonts w:cs="Arial"/>
                <w:shd w:val="clear" w:color="auto" w:fill="FFFFFF"/>
              </w:rPr>
              <w:t>taking into account</w:t>
            </w:r>
            <w:proofErr w:type="gramEnd"/>
            <w:r>
              <w:rPr>
                <w:rFonts w:cs="Arial"/>
                <w:shd w:val="clear" w:color="auto" w:fill="FFFFFF"/>
              </w:rPr>
              <w:t xml:space="preserve"> the surrounding development and any constraints. </w:t>
            </w:r>
          </w:p>
          <w:p w14:paraId="31617A16" w14:textId="77777777" w:rsidR="0076693E" w:rsidRDefault="0076693E" w:rsidP="002D0222">
            <w:pPr>
              <w:spacing w:after="0"/>
              <w:rPr>
                <w:rFonts w:cs="Arial"/>
                <w:shd w:val="clear" w:color="auto" w:fill="FFFFFF"/>
              </w:rPr>
            </w:pPr>
          </w:p>
          <w:p w14:paraId="181D3850" w14:textId="6DC43459" w:rsidR="0076693E" w:rsidRDefault="00D94E54" w:rsidP="002D0222">
            <w:pPr>
              <w:spacing w:after="0"/>
              <w:rPr>
                <w:rFonts w:cs="Arial"/>
                <w:shd w:val="clear" w:color="auto" w:fill="FFFFFF"/>
              </w:rPr>
            </w:pPr>
            <w:r>
              <w:rPr>
                <w:rFonts w:cs="Arial"/>
                <w:shd w:val="clear" w:color="auto" w:fill="FFFFFF"/>
              </w:rPr>
              <w:t xml:space="preserve">Any further subdivision of 44A Scenic Road will need to meet the requirements of the </w:t>
            </w:r>
            <w:r w:rsidR="006A0A6D">
              <w:rPr>
                <w:rFonts w:cs="Arial"/>
                <w:shd w:val="clear" w:color="auto" w:fill="FFFFFF"/>
              </w:rPr>
              <w:t>S</w:t>
            </w:r>
            <w:r>
              <w:rPr>
                <w:rFonts w:cs="Arial"/>
                <w:shd w:val="clear" w:color="auto" w:fill="FFFFFF"/>
              </w:rPr>
              <w:t>ubdivision code</w:t>
            </w:r>
            <w:r w:rsidR="00AE30F4">
              <w:rPr>
                <w:rFonts w:cs="Arial"/>
                <w:shd w:val="clear" w:color="auto" w:fill="FFFFFF"/>
              </w:rPr>
              <w:t>,</w:t>
            </w:r>
            <w:r>
              <w:rPr>
                <w:rFonts w:cs="Arial"/>
                <w:shd w:val="clear" w:color="auto" w:fill="FFFFFF"/>
              </w:rPr>
              <w:t xml:space="preserve"> including addressing stormwater requirements</w:t>
            </w:r>
            <w:r w:rsidR="00F0447C">
              <w:rPr>
                <w:rFonts w:cs="Arial"/>
                <w:shd w:val="clear" w:color="auto" w:fill="FFFFFF"/>
              </w:rPr>
              <w:t xml:space="preserve"> and lot sizes</w:t>
            </w:r>
            <w:r>
              <w:rPr>
                <w:rFonts w:cs="Arial"/>
                <w:shd w:val="clear" w:color="auto" w:fill="FFFFFF"/>
              </w:rPr>
              <w:t>.</w:t>
            </w:r>
            <w:r w:rsidR="00F0447C">
              <w:rPr>
                <w:rFonts w:cs="Arial"/>
                <w:shd w:val="clear" w:color="auto" w:fill="FFFFFF"/>
              </w:rPr>
              <w:t xml:space="preserve"> </w:t>
            </w:r>
          </w:p>
          <w:p w14:paraId="67AD5A5A" w14:textId="77777777" w:rsidR="0076693E" w:rsidRDefault="0076693E" w:rsidP="002D0222">
            <w:pPr>
              <w:spacing w:after="0"/>
              <w:rPr>
                <w:rFonts w:cs="Arial"/>
                <w:shd w:val="clear" w:color="auto" w:fill="FFFFFF"/>
              </w:rPr>
            </w:pPr>
          </w:p>
          <w:p w14:paraId="2412B79A" w14:textId="6F6E45CD" w:rsidR="000433F3" w:rsidRPr="00444C3A" w:rsidRDefault="000A405B" w:rsidP="002D0222">
            <w:pPr>
              <w:spacing w:after="0"/>
              <w:rPr>
                <w:rFonts w:cs="Arial"/>
                <w:shd w:val="clear" w:color="auto" w:fill="FFFFFF"/>
              </w:rPr>
            </w:pPr>
            <w:r>
              <w:rPr>
                <w:rFonts w:cs="Arial"/>
                <w:shd w:val="clear" w:color="auto" w:fill="FFFFFF"/>
              </w:rPr>
              <w:t xml:space="preserve">The intent of the </w:t>
            </w:r>
            <w:proofErr w:type="gramStart"/>
            <w:r>
              <w:rPr>
                <w:rFonts w:cs="Arial"/>
                <w:shd w:val="clear" w:color="auto" w:fill="FFFFFF"/>
              </w:rPr>
              <w:t>Low density</w:t>
            </w:r>
            <w:proofErr w:type="gramEnd"/>
            <w:r>
              <w:rPr>
                <w:rFonts w:cs="Arial"/>
                <w:shd w:val="clear" w:color="auto" w:fill="FFFFFF"/>
              </w:rPr>
              <w:t xml:space="preserve"> residential zone is to provide for a variety of low</w:t>
            </w:r>
            <w:r w:rsidR="00F81EE1">
              <w:rPr>
                <w:rFonts w:cs="Arial"/>
                <w:shd w:val="clear" w:color="auto" w:fill="FFFFFF"/>
              </w:rPr>
              <w:t>-</w:t>
            </w:r>
            <w:r>
              <w:rPr>
                <w:rFonts w:cs="Arial"/>
                <w:shd w:val="clear" w:color="auto" w:fill="FFFFFF"/>
              </w:rPr>
              <w:t>density dwellings.</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7D1A5AC5" w14:textId="77777777" w:rsidR="00D94E54" w:rsidRPr="002A53B6" w:rsidRDefault="00D94E54" w:rsidP="00D000E5">
            <w:pPr>
              <w:pStyle w:val="SubmissionTable"/>
              <w:spacing w:before="0" w:after="0"/>
              <w:rPr>
                <w:rFonts w:cs="Arial"/>
                <w:sz w:val="20"/>
                <w:lang w:val="en-AU"/>
              </w:rPr>
            </w:pPr>
            <w:r w:rsidRPr="002A53B6">
              <w:rPr>
                <w:rFonts w:cs="Arial"/>
                <w:sz w:val="20"/>
                <w:lang w:val="en-AU"/>
              </w:rPr>
              <w:lastRenderedPageBreak/>
              <w:t>No change</w:t>
            </w:r>
          </w:p>
        </w:tc>
      </w:tr>
      <w:tr w:rsidR="00D94E54" w:rsidRPr="002A53B6" w14:paraId="01BE5929" w14:textId="77777777" w:rsidTr="00D7220D">
        <w:trPr>
          <w:trHeight w:val="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1C74DE37" w14:textId="77777777" w:rsidR="00D94E54" w:rsidRPr="002A53B6" w:rsidRDefault="00D94E54" w:rsidP="002D0222">
            <w:pPr>
              <w:spacing w:after="0"/>
              <w:rPr>
                <w:color w:val="000000"/>
              </w:rPr>
            </w:pPr>
            <w:r w:rsidRPr="002A53B6">
              <w:rPr>
                <w:shd w:val="clear" w:color="auto" w:fill="FFFFFF"/>
              </w:rPr>
              <w:t>MK-042</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A7D998E" w14:textId="35C2F72B" w:rsidR="00D94E54" w:rsidRPr="002A53B6" w:rsidRDefault="0039027D" w:rsidP="002D0222">
            <w:pPr>
              <w:spacing w:after="0"/>
              <w:rPr>
                <w:shd w:val="clear" w:color="auto" w:fill="FFFFFF"/>
              </w:rPr>
            </w:pPr>
            <w:r>
              <w:rPr>
                <w:shd w:val="clear" w:color="auto" w:fill="FFFFFF"/>
              </w:rPr>
              <w:t>The s</w:t>
            </w:r>
            <w:r w:rsidR="00D94E54" w:rsidRPr="002A53B6">
              <w:rPr>
                <w:shd w:val="clear" w:color="auto" w:fill="FFFFFF"/>
              </w:rPr>
              <w:t>ubmitter opposes the proposed rezoning of Emerging community</w:t>
            </w:r>
            <w:r w:rsidR="001E0F18">
              <w:rPr>
                <w:shd w:val="clear" w:color="auto" w:fill="FFFFFF"/>
              </w:rPr>
              <w:t xml:space="preserve"> zoned</w:t>
            </w:r>
            <w:r w:rsidR="00D94E54" w:rsidRPr="002A53B6">
              <w:rPr>
                <w:shd w:val="clear" w:color="auto" w:fill="FFFFFF"/>
              </w:rPr>
              <w:t xml:space="preserve"> areas to </w:t>
            </w:r>
            <w:r w:rsidR="00F81EE1">
              <w:rPr>
                <w:shd w:val="clear" w:color="auto" w:fill="FFFFFF"/>
              </w:rPr>
              <w:t xml:space="preserve">the </w:t>
            </w:r>
            <w:proofErr w:type="gramStart"/>
            <w:r w:rsidR="00D94E54" w:rsidRPr="002A53B6">
              <w:rPr>
                <w:shd w:val="clear" w:color="auto" w:fill="FFFFFF"/>
              </w:rPr>
              <w:t>Low density</w:t>
            </w:r>
            <w:proofErr w:type="gramEnd"/>
            <w:r w:rsidR="00D94E54" w:rsidRPr="002A53B6">
              <w:rPr>
                <w:shd w:val="clear" w:color="auto" w:fill="FFFFFF"/>
              </w:rPr>
              <w:t xml:space="preserve"> residential </w:t>
            </w:r>
            <w:r w:rsidR="001E0F18">
              <w:rPr>
                <w:shd w:val="clear" w:color="auto" w:fill="FFFFFF"/>
              </w:rPr>
              <w:t>zone for the following reasons</w:t>
            </w:r>
            <w:r w:rsidR="007E4047">
              <w:rPr>
                <w:shd w:val="clear" w:color="auto" w:fill="FFFFFF"/>
              </w:rPr>
              <w:t>.</w:t>
            </w:r>
          </w:p>
          <w:p w14:paraId="4F78B18E" w14:textId="3499BD97" w:rsidR="00D94E54" w:rsidRPr="00F83F89" w:rsidRDefault="00C0022B" w:rsidP="002D0222">
            <w:pPr>
              <w:pStyle w:val="ListParagraph"/>
              <w:numPr>
                <w:ilvl w:val="0"/>
                <w:numId w:val="18"/>
              </w:numPr>
              <w:spacing w:after="0"/>
              <w:rPr>
                <w:shd w:val="clear" w:color="auto" w:fill="FFFFFF"/>
              </w:rPr>
            </w:pPr>
            <w:r>
              <w:rPr>
                <w:shd w:val="clear" w:color="auto" w:fill="FFFFFF"/>
              </w:rPr>
              <w:t>I</w:t>
            </w:r>
            <w:r w:rsidR="00D94E54" w:rsidRPr="00F83F89">
              <w:rPr>
                <w:shd w:val="clear" w:color="auto" w:fill="FFFFFF"/>
              </w:rPr>
              <w:t xml:space="preserve">t reduces dwelling supply and is contrary to </w:t>
            </w:r>
            <w:proofErr w:type="spellStart"/>
            <w:r w:rsidR="00D94E54" w:rsidRPr="00166F49">
              <w:rPr>
                <w:i/>
                <w:iCs/>
                <w:shd w:val="clear" w:color="auto" w:fill="FFFFFF"/>
              </w:rPr>
              <w:t>ShapingSEQ</w:t>
            </w:r>
            <w:proofErr w:type="spellEnd"/>
            <w:r w:rsidR="00D94E54" w:rsidRPr="00F83F89">
              <w:rPr>
                <w:shd w:val="clear" w:color="auto" w:fill="FFFFFF"/>
              </w:rPr>
              <w:t xml:space="preserve"> that indicates </w:t>
            </w:r>
            <w:r w:rsidR="00F81EE1">
              <w:rPr>
                <w:shd w:val="clear" w:color="auto" w:fill="FFFFFF"/>
              </w:rPr>
              <w:t xml:space="preserve">that </w:t>
            </w:r>
            <w:r w:rsidR="00D94E54" w:rsidRPr="00F83F89">
              <w:rPr>
                <w:shd w:val="clear" w:color="auto" w:fill="FFFFFF"/>
              </w:rPr>
              <w:t xml:space="preserve">an additional 188,200 homes are required in Brisbane between 2016 and 2041. </w:t>
            </w:r>
          </w:p>
          <w:p w14:paraId="64406DAC" w14:textId="63ECDBC4" w:rsidR="00D94E54" w:rsidRPr="00F83F89" w:rsidRDefault="00C0022B" w:rsidP="002D0222">
            <w:pPr>
              <w:pStyle w:val="ListParagraph"/>
              <w:numPr>
                <w:ilvl w:val="0"/>
                <w:numId w:val="18"/>
              </w:numPr>
              <w:spacing w:after="0"/>
              <w:rPr>
                <w:shd w:val="clear" w:color="auto" w:fill="FFFFFF"/>
              </w:rPr>
            </w:pPr>
            <w:r>
              <w:rPr>
                <w:shd w:val="clear" w:color="auto" w:fill="FFFFFF"/>
              </w:rPr>
              <w:t>T</w:t>
            </w:r>
            <w:r w:rsidR="00D94E54" w:rsidRPr="00F83F89">
              <w:rPr>
                <w:shd w:val="clear" w:color="auto" w:fill="FFFFFF"/>
              </w:rPr>
              <w:t xml:space="preserve">he impact on housing supply numbers is not balanced by increased supply elsewhere. </w:t>
            </w:r>
          </w:p>
          <w:p w14:paraId="16BC5E91" w14:textId="090B2AE4" w:rsidR="00D94E54" w:rsidRPr="00F83F89" w:rsidRDefault="00C0022B" w:rsidP="002D0222">
            <w:pPr>
              <w:pStyle w:val="ListParagraph"/>
              <w:numPr>
                <w:ilvl w:val="0"/>
                <w:numId w:val="18"/>
              </w:numPr>
              <w:spacing w:after="0"/>
              <w:rPr>
                <w:shd w:val="clear" w:color="auto" w:fill="FFFFFF"/>
              </w:rPr>
            </w:pPr>
            <w:r>
              <w:rPr>
                <w:shd w:val="clear" w:color="auto" w:fill="FFFFFF"/>
              </w:rPr>
              <w:lastRenderedPageBreak/>
              <w:t>T</w:t>
            </w:r>
            <w:r w:rsidR="00D94E54" w:rsidRPr="00F83F89">
              <w:rPr>
                <w:shd w:val="clear" w:color="auto" w:fill="FFFFFF"/>
              </w:rPr>
              <w:t xml:space="preserve">here is no supporting material for the </w:t>
            </w:r>
            <w:proofErr w:type="gramStart"/>
            <w:r w:rsidR="00D94E54" w:rsidRPr="00F83F89">
              <w:rPr>
                <w:shd w:val="clear" w:color="auto" w:fill="FFFFFF"/>
              </w:rPr>
              <w:t>change</w:t>
            </w:r>
            <w:proofErr w:type="gramEnd"/>
            <w:r w:rsidR="00D94E54" w:rsidRPr="00F83F89">
              <w:rPr>
                <w:shd w:val="clear" w:color="auto" w:fill="FFFFFF"/>
              </w:rPr>
              <w:t xml:space="preserve"> and this should not occur without evidence indicating that Low density residential is the appropriate use</w:t>
            </w:r>
            <w:r w:rsidR="00D94E54">
              <w:rPr>
                <w:shd w:val="clear" w:color="auto" w:fill="FFFFFF"/>
              </w:rPr>
              <w:t>.</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2238B7F" w14:textId="79B70781" w:rsidR="000C0C84" w:rsidRDefault="000C0C84" w:rsidP="002D0222">
            <w:pPr>
              <w:spacing w:after="0"/>
              <w:rPr>
                <w:lang w:val="en-AU"/>
              </w:rPr>
            </w:pPr>
            <w:r>
              <w:rPr>
                <w:lang w:val="en-AU"/>
              </w:rPr>
              <w:lastRenderedPageBreak/>
              <w:t xml:space="preserve">The proposed zoning change from </w:t>
            </w:r>
            <w:r w:rsidR="00F81EE1">
              <w:rPr>
                <w:lang w:val="en-AU"/>
              </w:rPr>
              <w:t xml:space="preserve">the </w:t>
            </w:r>
            <w:r>
              <w:rPr>
                <w:lang w:val="en-AU"/>
              </w:rPr>
              <w:t xml:space="preserve">Emerging community zone to </w:t>
            </w:r>
            <w:r w:rsidR="00F81EE1">
              <w:rPr>
                <w:lang w:val="en-AU"/>
              </w:rPr>
              <w:t xml:space="preserve">the </w:t>
            </w:r>
            <w:proofErr w:type="gramStart"/>
            <w:r>
              <w:rPr>
                <w:lang w:val="en-AU"/>
              </w:rPr>
              <w:t>Low density</w:t>
            </w:r>
            <w:proofErr w:type="gramEnd"/>
            <w:r>
              <w:rPr>
                <w:lang w:val="en-AU"/>
              </w:rPr>
              <w:t xml:space="preserve"> residential zone was initiated by Council</w:t>
            </w:r>
            <w:r w:rsidR="000A405B">
              <w:rPr>
                <w:lang w:val="en-AU"/>
              </w:rPr>
              <w:t xml:space="preserve"> as an action from </w:t>
            </w:r>
            <w:r w:rsidRPr="009041F2">
              <w:rPr>
                <w:lang w:val="en-AU"/>
              </w:rPr>
              <w:t>BFP</w:t>
            </w:r>
            <w:r w:rsidR="00F81EE1">
              <w:rPr>
                <w:lang w:val="en-AU"/>
              </w:rPr>
              <w:t> </w:t>
            </w:r>
            <w:r w:rsidR="007E4047">
              <w:rPr>
                <w:lang w:val="en-AU"/>
              </w:rPr>
              <w:t>-</w:t>
            </w:r>
            <w:r w:rsidR="000A405B">
              <w:rPr>
                <w:lang w:val="en-AU"/>
              </w:rPr>
              <w:t xml:space="preserve"> </w:t>
            </w:r>
          </w:p>
          <w:p w14:paraId="68AB5C7A" w14:textId="77777777" w:rsidR="000C0C84" w:rsidRPr="0086238D" w:rsidRDefault="000C0C84" w:rsidP="002D0222">
            <w:pPr>
              <w:spacing w:after="0"/>
              <w:rPr>
                <w:i/>
                <w:iCs/>
              </w:rPr>
            </w:pPr>
            <w:r w:rsidRPr="003C19A7">
              <w:rPr>
                <w:i/>
                <w:iCs/>
              </w:rPr>
              <w:t>Ensure that suburban development fits in with its surroundings. Audit Emerging Community land and rezone to Low Density Residential land where appropriate.</w:t>
            </w:r>
          </w:p>
          <w:p w14:paraId="32378FF6" w14:textId="77777777" w:rsidR="00A6781B" w:rsidRDefault="00A6781B" w:rsidP="00A6781B">
            <w:pPr>
              <w:spacing w:after="0"/>
              <w:rPr>
                <w:lang w:val="en-AU"/>
              </w:rPr>
            </w:pPr>
          </w:p>
          <w:p w14:paraId="157A24A0" w14:textId="57CEC3BA" w:rsidR="00D94E54" w:rsidRPr="00910D50" w:rsidRDefault="000C0C84" w:rsidP="007E4047">
            <w:pPr>
              <w:keepNext/>
              <w:keepLines/>
              <w:spacing w:after="0"/>
            </w:pPr>
            <w:r w:rsidRPr="00A6781B">
              <w:rPr>
                <w:lang w:val="en-AU"/>
              </w:rPr>
              <w:lastRenderedPageBreak/>
              <w:t xml:space="preserve">The audit </w:t>
            </w:r>
            <w:r w:rsidR="000A405B" w:rsidRPr="00A6781B">
              <w:rPr>
                <w:lang w:val="en-AU"/>
              </w:rPr>
              <w:t>assessed the suitability of lots changing fr</w:t>
            </w:r>
            <w:r w:rsidR="002D0222" w:rsidRPr="00A6781B">
              <w:rPr>
                <w:lang w:val="en-AU"/>
              </w:rPr>
              <w:t>o</w:t>
            </w:r>
            <w:r w:rsidR="000A405B" w:rsidRPr="00A6781B">
              <w:rPr>
                <w:lang w:val="en-AU"/>
              </w:rPr>
              <w:t xml:space="preserve">m the Emerging community zone to the </w:t>
            </w:r>
            <w:proofErr w:type="gramStart"/>
            <w:r w:rsidR="000A405B" w:rsidRPr="00A6781B">
              <w:rPr>
                <w:lang w:val="en-AU"/>
              </w:rPr>
              <w:t>Low density</w:t>
            </w:r>
            <w:proofErr w:type="gramEnd"/>
            <w:r w:rsidR="000A405B" w:rsidRPr="00A6781B">
              <w:rPr>
                <w:lang w:val="en-AU"/>
              </w:rPr>
              <w:t xml:space="preserve"> residential zone against factors such as whether or not the area is in a neighbourhood plan and the number and type of constraints</w:t>
            </w:r>
            <w:r w:rsidR="00D94E54">
              <w:t>.</w:t>
            </w:r>
          </w:p>
          <w:p w14:paraId="4B0A6531" w14:textId="77777777" w:rsidR="002D0222" w:rsidRDefault="002D0222" w:rsidP="002D0222">
            <w:pPr>
              <w:spacing w:after="0"/>
              <w:rPr>
                <w:rFonts w:cs="Arial"/>
                <w:shd w:val="clear" w:color="auto" w:fill="FFFFFF"/>
              </w:rPr>
            </w:pPr>
          </w:p>
          <w:p w14:paraId="4348FFD8" w14:textId="3E716D11" w:rsidR="000A405B" w:rsidRDefault="000A405B" w:rsidP="002D0222">
            <w:pPr>
              <w:spacing w:after="0"/>
              <w:rPr>
                <w:rFonts w:cs="Arial"/>
                <w:shd w:val="clear" w:color="auto" w:fill="FFFFFF"/>
              </w:rPr>
            </w:pPr>
            <w:r>
              <w:rPr>
                <w:rFonts w:cs="Arial"/>
                <w:shd w:val="clear" w:color="auto" w:fill="FFFFFF"/>
              </w:rPr>
              <w:t xml:space="preserve">The </w:t>
            </w:r>
            <w:r w:rsidR="002D0222">
              <w:rPr>
                <w:rFonts w:cs="Arial"/>
                <w:shd w:val="clear" w:color="auto" w:fill="FFFFFF"/>
              </w:rPr>
              <w:t xml:space="preserve">areas identified for possible change from </w:t>
            </w:r>
            <w:r w:rsidR="00F81EE1">
              <w:rPr>
                <w:rFonts w:cs="Arial"/>
                <w:shd w:val="clear" w:color="auto" w:fill="FFFFFF"/>
              </w:rPr>
              <w:t xml:space="preserve">the </w:t>
            </w:r>
            <w:r w:rsidR="002D0222">
              <w:rPr>
                <w:rFonts w:cs="Arial"/>
                <w:shd w:val="clear" w:color="auto" w:fill="FFFFFF"/>
              </w:rPr>
              <w:t xml:space="preserve">Emerging community zone to </w:t>
            </w:r>
            <w:r w:rsidR="00F81EE1">
              <w:rPr>
                <w:rFonts w:cs="Arial"/>
                <w:shd w:val="clear" w:color="auto" w:fill="FFFFFF"/>
              </w:rPr>
              <w:t xml:space="preserve">the </w:t>
            </w:r>
            <w:proofErr w:type="gramStart"/>
            <w:r w:rsidR="002D0222">
              <w:rPr>
                <w:rFonts w:cs="Arial"/>
                <w:shd w:val="clear" w:color="auto" w:fill="FFFFFF"/>
              </w:rPr>
              <w:t>Low density</w:t>
            </w:r>
            <w:proofErr w:type="gramEnd"/>
            <w:r w:rsidR="002D0222">
              <w:rPr>
                <w:rFonts w:cs="Arial"/>
                <w:shd w:val="clear" w:color="auto" w:fill="FFFFFF"/>
              </w:rPr>
              <w:t xml:space="preserve"> residential zone are included in the </w:t>
            </w:r>
            <w:r>
              <w:rPr>
                <w:rFonts w:cs="Arial"/>
                <w:shd w:val="clear" w:color="auto" w:fill="FFFFFF"/>
              </w:rPr>
              <w:t>Strategic framework</w:t>
            </w:r>
            <w:r w:rsidR="00E67E53">
              <w:rPr>
                <w:rFonts w:cs="Arial"/>
                <w:shd w:val="clear" w:color="auto" w:fill="FFFFFF"/>
              </w:rPr>
              <w:t xml:space="preserve"> map</w:t>
            </w:r>
            <w:r w:rsidR="002D0222">
              <w:rPr>
                <w:rFonts w:cs="Arial"/>
                <w:shd w:val="clear" w:color="auto" w:fill="FFFFFF"/>
              </w:rPr>
              <w:t>,</w:t>
            </w:r>
            <w:r w:rsidR="00E67E53">
              <w:rPr>
                <w:rFonts w:cs="Arial"/>
                <w:shd w:val="clear" w:color="auto" w:fill="FFFFFF"/>
              </w:rPr>
              <w:t xml:space="preserve"> SFM-002</w:t>
            </w:r>
            <w:r w:rsidR="002D0222">
              <w:rPr>
                <w:rFonts w:cs="Arial"/>
                <w:shd w:val="clear" w:color="auto" w:fill="FFFFFF"/>
              </w:rPr>
              <w:t xml:space="preserve"> </w:t>
            </w:r>
            <w:r w:rsidR="00E67E53">
              <w:rPr>
                <w:rFonts w:cs="Arial"/>
                <w:shd w:val="clear" w:color="auto" w:fill="FFFFFF"/>
              </w:rPr>
              <w:t xml:space="preserve">Brisbane </w:t>
            </w:r>
            <w:proofErr w:type="spellStart"/>
            <w:r w:rsidR="002D0222">
              <w:rPr>
                <w:rFonts w:cs="Arial"/>
                <w:shd w:val="clear" w:color="auto" w:fill="FFFFFF"/>
              </w:rPr>
              <w:t>CityShape</w:t>
            </w:r>
            <w:proofErr w:type="spellEnd"/>
            <w:r w:rsidR="00EC0787">
              <w:rPr>
                <w:rFonts w:cs="Arial"/>
                <w:shd w:val="clear" w:color="auto" w:fill="FFFFFF"/>
              </w:rPr>
              <w:t xml:space="preserve"> 2031</w:t>
            </w:r>
            <w:r w:rsidR="00925C14">
              <w:rPr>
                <w:rFonts w:cs="Arial"/>
                <w:shd w:val="clear" w:color="auto" w:fill="FFFFFF"/>
              </w:rPr>
              <w:t xml:space="preserve"> </w:t>
            </w:r>
            <w:r w:rsidR="00E67E53">
              <w:rPr>
                <w:rFonts w:cs="Arial"/>
                <w:shd w:val="clear" w:color="auto" w:fill="FFFFFF"/>
              </w:rPr>
              <w:t>L</w:t>
            </w:r>
            <w:r w:rsidR="00925C14">
              <w:rPr>
                <w:rFonts w:cs="Arial"/>
                <w:shd w:val="clear" w:color="auto" w:fill="FFFFFF"/>
              </w:rPr>
              <w:t xml:space="preserve">and </w:t>
            </w:r>
            <w:r w:rsidR="00E67E53">
              <w:rPr>
                <w:rFonts w:cs="Arial"/>
                <w:shd w:val="clear" w:color="auto" w:fill="FFFFFF"/>
              </w:rPr>
              <w:t>U</w:t>
            </w:r>
            <w:r w:rsidR="00925C14">
              <w:rPr>
                <w:rFonts w:cs="Arial"/>
                <w:shd w:val="clear" w:color="auto" w:fill="FFFFFF"/>
              </w:rPr>
              <w:t xml:space="preserve">se </w:t>
            </w:r>
            <w:r w:rsidR="00E67E53">
              <w:rPr>
                <w:rFonts w:cs="Arial"/>
                <w:shd w:val="clear" w:color="auto" w:fill="FFFFFF"/>
              </w:rPr>
              <w:t>S</w:t>
            </w:r>
            <w:r w:rsidR="00925C14">
              <w:rPr>
                <w:rFonts w:cs="Arial"/>
                <w:shd w:val="clear" w:color="auto" w:fill="FFFFFF"/>
              </w:rPr>
              <w:t xml:space="preserve">trategic </w:t>
            </w:r>
            <w:r w:rsidR="00E67E53">
              <w:rPr>
                <w:rFonts w:cs="Arial"/>
                <w:shd w:val="clear" w:color="auto" w:fill="FFFFFF"/>
              </w:rPr>
              <w:t>F</w:t>
            </w:r>
            <w:r w:rsidR="00925C14">
              <w:rPr>
                <w:rFonts w:cs="Arial"/>
                <w:shd w:val="clear" w:color="auto" w:fill="FFFFFF"/>
              </w:rPr>
              <w:t>ramework</w:t>
            </w:r>
            <w:r w:rsidR="00EC0787">
              <w:rPr>
                <w:rFonts w:cs="Arial"/>
                <w:shd w:val="clear" w:color="auto" w:fill="FFFFFF"/>
              </w:rPr>
              <w:t xml:space="preserve"> </w:t>
            </w:r>
            <w:r w:rsidR="00E67E53">
              <w:rPr>
                <w:rFonts w:cs="Arial"/>
                <w:shd w:val="clear" w:color="auto" w:fill="FFFFFF"/>
              </w:rPr>
              <w:t>M</w:t>
            </w:r>
            <w:r w:rsidR="00EC0787">
              <w:rPr>
                <w:rFonts w:cs="Arial"/>
                <w:shd w:val="clear" w:color="auto" w:fill="FFFFFF"/>
              </w:rPr>
              <w:t>ap</w:t>
            </w:r>
            <w:r w:rsidR="002D0222">
              <w:rPr>
                <w:rFonts w:cs="Arial"/>
                <w:shd w:val="clear" w:color="auto" w:fill="FFFFFF"/>
              </w:rPr>
              <w:t>,</w:t>
            </w:r>
            <w:r>
              <w:rPr>
                <w:rFonts w:cs="Arial"/>
                <w:shd w:val="clear" w:color="auto" w:fill="FFFFFF"/>
              </w:rPr>
              <w:t xml:space="preserve"> </w:t>
            </w:r>
            <w:r w:rsidR="002D0222">
              <w:rPr>
                <w:rFonts w:cs="Arial"/>
                <w:shd w:val="clear" w:color="auto" w:fill="FFFFFF"/>
              </w:rPr>
              <w:t>as</w:t>
            </w:r>
            <w:r>
              <w:rPr>
                <w:rFonts w:cs="Arial"/>
                <w:shd w:val="clear" w:color="auto" w:fill="FFFFFF"/>
              </w:rPr>
              <w:t xml:space="preserve"> Suburban Living Area</w:t>
            </w:r>
            <w:r w:rsidR="002D0222">
              <w:rPr>
                <w:rFonts w:cs="Arial"/>
                <w:shd w:val="clear" w:color="auto" w:fill="FFFFFF"/>
              </w:rPr>
              <w:t>s</w:t>
            </w:r>
            <w:r>
              <w:rPr>
                <w:rFonts w:cs="Arial"/>
                <w:shd w:val="clear" w:color="auto" w:fill="FFFFFF"/>
              </w:rPr>
              <w:t xml:space="preserve">. These areas are generally included in the </w:t>
            </w:r>
            <w:proofErr w:type="gramStart"/>
            <w:r>
              <w:rPr>
                <w:rFonts w:cs="Arial"/>
                <w:shd w:val="clear" w:color="auto" w:fill="FFFFFF"/>
              </w:rPr>
              <w:t>Low density</w:t>
            </w:r>
            <w:proofErr w:type="gramEnd"/>
            <w:r>
              <w:rPr>
                <w:rFonts w:cs="Arial"/>
                <w:shd w:val="clear" w:color="auto" w:fill="FFFFFF"/>
              </w:rPr>
              <w:t xml:space="preserve"> residential zone in order to achieve the strategic outcome of lower</w:t>
            </w:r>
            <w:r w:rsidR="00F81EE1">
              <w:rPr>
                <w:rFonts w:cs="Arial"/>
                <w:shd w:val="clear" w:color="auto" w:fill="FFFFFF"/>
              </w:rPr>
              <w:t>-</w:t>
            </w:r>
            <w:r>
              <w:rPr>
                <w:rFonts w:cs="Arial"/>
                <w:shd w:val="clear" w:color="auto" w:fill="FFFFFF"/>
              </w:rPr>
              <w:t xml:space="preserve">density residential development. The intent of the </w:t>
            </w:r>
            <w:proofErr w:type="gramStart"/>
            <w:r>
              <w:rPr>
                <w:rFonts w:cs="Arial"/>
                <w:shd w:val="clear" w:color="auto" w:fill="FFFFFF"/>
              </w:rPr>
              <w:t>Low density</w:t>
            </w:r>
            <w:proofErr w:type="gramEnd"/>
            <w:r>
              <w:rPr>
                <w:rFonts w:cs="Arial"/>
                <w:shd w:val="clear" w:color="auto" w:fill="FFFFFF"/>
              </w:rPr>
              <w:t xml:space="preserve"> residential zone is to provide for a variety of low</w:t>
            </w:r>
            <w:r w:rsidR="00F81EE1">
              <w:rPr>
                <w:rFonts w:cs="Arial"/>
                <w:shd w:val="clear" w:color="auto" w:fill="FFFFFF"/>
              </w:rPr>
              <w:t>-</w:t>
            </w:r>
            <w:r>
              <w:rPr>
                <w:rFonts w:cs="Arial"/>
                <w:shd w:val="clear" w:color="auto" w:fill="FFFFFF"/>
              </w:rPr>
              <w:t>density dwellings.</w:t>
            </w:r>
          </w:p>
          <w:p w14:paraId="31673D35" w14:textId="77777777" w:rsidR="002D0222" w:rsidRDefault="002D0222" w:rsidP="002D0222">
            <w:pPr>
              <w:spacing w:after="0"/>
              <w:rPr>
                <w:rFonts w:cs="Arial"/>
                <w:shd w:val="clear" w:color="auto" w:fill="FFFFFF"/>
              </w:rPr>
            </w:pPr>
          </w:p>
          <w:p w14:paraId="09DBD5E9" w14:textId="6CE5D88F" w:rsidR="00C86CB3" w:rsidRPr="000433F3" w:rsidRDefault="0076693E" w:rsidP="002D0222">
            <w:pPr>
              <w:spacing w:after="0"/>
              <w:rPr>
                <w:rFonts w:cs="Arial"/>
                <w:shd w:val="clear" w:color="auto" w:fill="FFFFFF"/>
              </w:rPr>
            </w:pPr>
            <w:r>
              <w:rPr>
                <w:rFonts w:cs="Arial"/>
                <w:shd w:val="clear" w:color="auto" w:fill="FFFFFF"/>
              </w:rPr>
              <w:t xml:space="preserve">Council is well on track to meet the dwelling supply in </w:t>
            </w:r>
            <w:r w:rsidR="00CE6296">
              <w:rPr>
                <w:rFonts w:cs="Arial"/>
                <w:shd w:val="clear" w:color="auto" w:fill="FFFFFF"/>
              </w:rPr>
              <w:t xml:space="preserve">the </w:t>
            </w:r>
            <w:proofErr w:type="gramStart"/>
            <w:r w:rsidR="003331B4" w:rsidRPr="00CE6296">
              <w:rPr>
                <w:rFonts w:cs="Arial"/>
                <w:i/>
                <w:iCs/>
                <w:shd w:val="clear" w:color="auto" w:fill="FFFFFF"/>
              </w:rPr>
              <w:t>South East</w:t>
            </w:r>
            <w:proofErr w:type="gramEnd"/>
            <w:r w:rsidR="003331B4" w:rsidRPr="00CE6296">
              <w:rPr>
                <w:rFonts w:cs="Arial"/>
                <w:i/>
                <w:iCs/>
                <w:shd w:val="clear" w:color="auto" w:fill="FFFFFF"/>
              </w:rPr>
              <w:t xml:space="preserve"> Queensland Regional Plan 2017</w:t>
            </w:r>
            <w:r>
              <w:rPr>
                <w:rFonts w:cs="Arial"/>
                <w:shd w:val="clear" w:color="auto" w:fill="FFFFFF"/>
              </w:rPr>
              <w:t>. These changes do not impact this delivery.</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51A9FF92" w14:textId="77777777" w:rsidR="00D94E54" w:rsidRPr="002A53B6" w:rsidRDefault="00D94E54" w:rsidP="00D000E5">
            <w:pPr>
              <w:pStyle w:val="SubmissionTable"/>
              <w:spacing w:before="0" w:after="0"/>
              <w:rPr>
                <w:rFonts w:cs="Arial"/>
                <w:sz w:val="20"/>
                <w:lang w:val="en-AU"/>
              </w:rPr>
            </w:pPr>
            <w:r w:rsidRPr="002A53B6">
              <w:rPr>
                <w:rFonts w:cs="Arial"/>
                <w:sz w:val="20"/>
                <w:lang w:val="en-AU"/>
              </w:rPr>
              <w:lastRenderedPageBreak/>
              <w:t>No change</w:t>
            </w:r>
          </w:p>
        </w:tc>
      </w:tr>
      <w:tr w:rsidR="00D94E54" w:rsidRPr="002A53B6" w14:paraId="7E5E82AE" w14:textId="77777777" w:rsidTr="00D7220D">
        <w:trPr>
          <w:trHeight w:val="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7E6F3A8E" w14:textId="77777777" w:rsidR="00D94E54" w:rsidRPr="002A53B6" w:rsidRDefault="00D94E54" w:rsidP="002D0222">
            <w:pPr>
              <w:spacing w:after="0"/>
              <w:rPr>
                <w:shd w:val="clear" w:color="auto" w:fill="FFFFFF"/>
              </w:rPr>
            </w:pPr>
            <w:r w:rsidRPr="002A53B6">
              <w:rPr>
                <w:shd w:val="clear" w:color="auto" w:fill="FFFFFF"/>
              </w:rPr>
              <w:t>MK-043</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C26506E" w14:textId="4181D682" w:rsidR="00D94E54" w:rsidRPr="002A53B6" w:rsidRDefault="0039027D" w:rsidP="002D0222">
            <w:pPr>
              <w:spacing w:after="0"/>
              <w:rPr>
                <w:shd w:val="clear" w:color="auto" w:fill="FFFFFF"/>
              </w:rPr>
            </w:pPr>
            <w:r>
              <w:rPr>
                <w:shd w:val="clear" w:color="auto" w:fill="FFFFFF"/>
              </w:rPr>
              <w:t>The s</w:t>
            </w:r>
            <w:r w:rsidR="00D94E54" w:rsidRPr="002A53B6">
              <w:rPr>
                <w:shd w:val="clear" w:color="auto" w:fill="FFFFFF"/>
              </w:rPr>
              <w:t xml:space="preserve">ubmitter opposes the proposed rezoning of 112 </w:t>
            </w:r>
            <w:proofErr w:type="spellStart"/>
            <w:r w:rsidR="00D94E54" w:rsidRPr="002A53B6">
              <w:rPr>
                <w:shd w:val="clear" w:color="auto" w:fill="FFFFFF"/>
              </w:rPr>
              <w:t>Groth</w:t>
            </w:r>
            <w:proofErr w:type="spellEnd"/>
            <w:r w:rsidR="00D94E54" w:rsidRPr="002A53B6">
              <w:rPr>
                <w:shd w:val="clear" w:color="auto" w:fill="FFFFFF"/>
              </w:rPr>
              <w:t xml:space="preserve"> R</w:t>
            </w:r>
            <w:r w:rsidR="00F81EE1">
              <w:rPr>
                <w:shd w:val="clear" w:color="auto" w:fill="FFFFFF"/>
              </w:rPr>
              <w:t>oa</w:t>
            </w:r>
            <w:r w:rsidR="00D94E54" w:rsidRPr="002A53B6">
              <w:rPr>
                <w:shd w:val="clear" w:color="auto" w:fill="FFFFFF"/>
              </w:rPr>
              <w:t>d, Boondall</w:t>
            </w:r>
            <w:r w:rsidR="00F81EE1">
              <w:rPr>
                <w:shd w:val="clear" w:color="auto" w:fill="FFFFFF"/>
              </w:rPr>
              <w:t>,</w:t>
            </w:r>
            <w:r w:rsidR="00D94E54" w:rsidRPr="002A53B6">
              <w:rPr>
                <w:shd w:val="clear" w:color="auto" w:fill="FFFFFF"/>
              </w:rPr>
              <w:t xml:space="preserve"> from </w:t>
            </w:r>
            <w:r w:rsidR="00F81EE1">
              <w:rPr>
                <w:shd w:val="clear" w:color="auto" w:fill="FFFFFF"/>
              </w:rPr>
              <w:t xml:space="preserve">the </w:t>
            </w:r>
            <w:r w:rsidR="00D94E54" w:rsidRPr="002A53B6">
              <w:rPr>
                <w:shd w:val="clear" w:color="auto" w:fill="FFFFFF"/>
              </w:rPr>
              <w:t xml:space="preserve">Emerging community zone to </w:t>
            </w:r>
            <w:r w:rsidR="00F81EE1">
              <w:rPr>
                <w:shd w:val="clear" w:color="auto" w:fill="FFFFFF"/>
              </w:rPr>
              <w:t xml:space="preserve">the </w:t>
            </w:r>
            <w:proofErr w:type="gramStart"/>
            <w:r w:rsidR="00D94E54" w:rsidRPr="002A53B6">
              <w:rPr>
                <w:shd w:val="clear" w:color="auto" w:fill="FFFFFF"/>
              </w:rPr>
              <w:t>Low density</w:t>
            </w:r>
            <w:proofErr w:type="gramEnd"/>
            <w:r w:rsidR="00D94E54" w:rsidRPr="002A53B6">
              <w:rPr>
                <w:shd w:val="clear" w:color="auto" w:fill="FFFFFF"/>
              </w:rPr>
              <w:t xml:space="preserve"> residential zone for the following reasons</w:t>
            </w:r>
            <w:r w:rsidR="007E4047">
              <w:rPr>
                <w:shd w:val="clear" w:color="auto" w:fill="FFFFFF"/>
              </w:rPr>
              <w:t>.</w:t>
            </w:r>
          </w:p>
          <w:p w14:paraId="34E8334D" w14:textId="77777777" w:rsidR="00D94E54" w:rsidRPr="00B07559" w:rsidRDefault="00D94E54" w:rsidP="002D0222">
            <w:pPr>
              <w:pStyle w:val="ListParagraph"/>
              <w:numPr>
                <w:ilvl w:val="0"/>
                <w:numId w:val="22"/>
              </w:numPr>
              <w:spacing w:after="0"/>
              <w:rPr>
                <w:shd w:val="clear" w:color="auto" w:fill="FFFFFF"/>
              </w:rPr>
            </w:pPr>
            <w:r w:rsidRPr="00B07559">
              <w:rPr>
                <w:shd w:val="clear" w:color="auto" w:fill="FFFFFF"/>
              </w:rPr>
              <w:t xml:space="preserve">Townhouses are consistent with the street, including adjoining the site. </w:t>
            </w:r>
          </w:p>
          <w:p w14:paraId="4B04D24F" w14:textId="77777777" w:rsidR="00D94E54" w:rsidRPr="00B07559" w:rsidRDefault="00D94E54" w:rsidP="002D0222">
            <w:pPr>
              <w:pStyle w:val="ListParagraph"/>
              <w:numPr>
                <w:ilvl w:val="0"/>
                <w:numId w:val="22"/>
              </w:numPr>
              <w:spacing w:after="0"/>
              <w:rPr>
                <w:shd w:val="clear" w:color="auto" w:fill="FFFFFF"/>
              </w:rPr>
            </w:pPr>
            <w:r w:rsidRPr="00B07559">
              <w:rPr>
                <w:shd w:val="clear" w:color="auto" w:fill="FFFFFF"/>
              </w:rPr>
              <w:t xml:space="preserve">The </w:t>
            </w:r>
            <w:proofErr w:type="gramStart"/>
            <w:r w:rsidRPr="00B07559">
              <w:rPr>
                <w:shd w:val="clear" w:color="auto" w:fill="FFFFFF"/>
              </w:rPr>
              <w:t>Low density</w:t>
            </w:r>
            <w:proofErr w:type="gramEnd"/>
            <w:r w:rsidRPr="00B07559">
              <w:rPr>
                <w:shd w:val="clear" w:color="auto" w:fill="FFFFFF"/>
              </w:rPr>
              <w:t xml:space="preserve"> residential zone would preclude townhouse development occurring on the site. </w:t>
            </w:r>
          </w:p>
          <w:p w14:paraId="13050987" w14:textId="77777777" w:rsidR="00D94E54" w:rsidRPr="00B07559" w:rsidRDefault="00D94E54" w:rsidP="002D0222">
            <w:pPr>
              <w:pStyle w:val="ListParagraph"/>
              <w:numPr>
                <w:ilvl w:val="0"/>
                <w:numId w:val="22"/>
              </w:numPr>
              <w:spacing w:after="0"/>
              <w:rPr>
                <w:shd w:val="clear" w:color="auto" w:fill="FFFFFF"/>
              </w:rPr>
            </w:pPr>
            <w:r w:rsidRPr="00B07559">
              <w:rPr>
                <w:shd w:val="clear" w:color="auto" w:fill="FFFFFF"/>
              </w:rPr>
              <w:t>This outcome would result in significant inconsistency between development opportunities of the site, and the existing and approved uses on adjoining sites.</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4393398C" w14:textId="3D62DBEF" w:rsidR="00730C87" w:rsidRDefault="00730C87" w:rsidP="002D0222">
            <w:pPr>
              <w:spacing w:after="0"/>
              <w:rPr>
                <w:lang w:val="en-AU"/>
              </w:rPr>
            </w:pPr>
            <w:r>
              <w:rPr>
                <w:lang w:val="en-AU"/>
              </w:rPr>
              <w:t xml:space="preserve">The proposed zoning change from the Emerging community zone to </w:t>
            </w:r>
            <w:r w:rsidR="00F81EE1">
              <w:rPr>
                <w:lang w:val="en-AU"/>
              </w:rPr>
              <w:t xml:space="preserve">the </w:t>
            </w:r>
            <w:proofErr w:type="gramStart"/>
            <w:r>
              <w:rPr>
                <w:lang w:val="en-AU"/>
              </w:rPr>
              <w:t>Low density</w:t>
            </w:r>
            <w:proofErr w:type="gramEnd"/>
            <w:r>
              <w:rPr>
                <w:lang w:val="en-AU"/>
              </w:rPr>
              <w:t xml:space="preserve"> residential zone was initiated by Council </w:t>
            </w:r>
            <w:r w:rsidR="0076693E">
              <w:rPr>
                <w:lang w:val="en-AU"/>
              </w:rPr>
              <w:t>as an action from</w:t>
            </w:r>
            <w:r>
              <w:rPr>
                <w:lang w:val="en-AU"/>
              </w:rPr>
              <w:t xml:space="preserve"> </w:t>
            </w:r>
            <w:r w:rsidRPr="009041F2">
              <w:rPr>
                <w:lang w:val="en-AU"/>
              </w:rPr>
              <w:t>BFP</w:t>
            </w:r>
            <w:r w:rsidR="0076693E">
              <w:rPr>
                <w:lang w:val="en-AU"/>
              </w:rPr>
              <w:t xml:space="preserve"> - </w:t>
            </w:r>
          </w:p>
          <w:p w14:paraId="02137C71" w14:textId="1AF335BC" w:rsidR="00730C87" w:rsidRDefault="00730C87" w:rsidP="002D0222">
            <w:pPr>
              <w:spacing w:after="0"/>
              <w:rPr>
                <w:i/>
                <w:iCs/>
              </w:rPr>
            </w:pPr>
            <w:r w:rsidRPr="003C19A7">
              <w:rPr>
                <w:i/>
                <w:iCs/>
              </w:rPr>
              <w:t>Ensure that suburban development fits in with its surroundings. Audit Emerging Community land and rezone to Low Density Residential land where appropriate.</w:t>
            </w:r>
          </w:p>
          <w:p w14:paraId="7F612C9C" w14:textId="77777777" w:rsidR="00C86CB3" w:rsidRPr="0086238D" w:rsidRDefault="00C86CB3" w:rsidP="002D0222">
            <w:pPr>
              <w:spacing w:after="0"/>
              <w:rPr>
                <w:i/>
                <w:iCs/>
              </w:rPr>
            </w:pPr>
          </w:p>
          <w:p w14:paraId="5D1AC09B" w14:textId="040A6F2A" w:rsidR="00D94E54" w:rsidRPr="00910D50" w:rsidRDefault="00730C87" w:rsidP="005C14A9">
            <w:pPr>
              <w:spacing w:after="0"/>
            </w:pPr>
            <w:r w:rsidRPr="005C14A9">
              <w:rPr>
                <w:lang w:val="en-AU"/>
              </w:rPr>
              <w:t xml:space="preserve">The audit </w:t>
            </w:r>
            <w:r w:rsidR="0076693E" w:rsidRPr="005C14A9">
              <w:rPr>
                <w:lang w:val="en-AU"/>
              </w:rPr>
              <w:t xml:space="preserve">assessed the suitability of lots changing from the Emerging community zone to the </w:t>
            </w:r>
            <w:proofErr w:type="gramStart"/>
            <w:r w:rsidR="0076693E" w:rsidRPr="005C14A9">
              <w:rPr>
                <w:lang w:val="en-AU"/>
              </w:rPr>
              <w:t>Low density</w:t>
            </w:r>
            <w:proofErr w:type="gramEnd"/>
            <w:r w:rsidR="0076693E" w:rsidRPr="005C14A9">
              <w:rPr>
                <w:lang w:val="en-AU"/>
              </w:rPr>
              <w:t xml:space="preserve"> residential zone against factors such as whether or not the area is in a neighbourhood plan and the number and type of constraints</w:t>
            </w:r>
            <w:r w:rsidR="00D94E54">
              <w:t>.</w:t>
            </w:r>
          </w:p>
          <w:p w14:paraId="5658F33D" w14:textId="77777777" w:rsidR="0076693E" w:rsidRDefault="0076693E" w:rsidP="002D0222">
            <w:pPr>
              <w:spacing w:after="0"/>
              <w:rPr>
                <w:rFonts w:cs="Arial"/>
                <w:shd w:val="clear" w:color="auto" w:fill="FFFFFF"/>
              </w:rPr>
            </w:pPr>
          </w:p>
          <w:p w14:paraId="71422805" w14:textId="2D7AA94E" w:rsidR="0076693E" w:rsidRDefault="00C80E4B" w:rsidP="002D0222">
            <w:pPr>
              <w:spacing w:after="0"/>
              <w:rPr>
                <w:rFonts w:cs="Arial"/>
                <w:shd w:val="clear" w:color="auto" w:fill="FFFFFF"/>
              </w:rPr>
            </w:pPr>
            <w:r>
              <w:rPr>
                <w:rFonts w:cs="Arial"/>
                <w:shd w:val="clear" w:color="auto" w:fill="FFFFFF"/>
              </w:rPr>
              <w:t xml:space="preserve">The property at </w:t>
            </w:r>
            <w:r w:rsidR="00D94E54">
              <w:rPr>
                <w:rFonts w:cs="Arial"/>
                <w:shd w:val="clear" w:color="auto" w:fill="FFFFFF"/>
              </w:rPr>
              <w:t xml:space="preserve">112 </w:t>
            </w:r>
            <w:proofErr w:type="spellStart"/>
            <w:r w:rsidR="00D94E54">
              <w:rPr>
                <w:rFonts w:cs="Arial"/>
                <w:shd w:val="clear" w:color="auto" w:fill="FFFFFF"/>
              </w:rPr>
              <w:t>Groth</w:t>
            </w:r>
            <w:proofErr w:type="spellEnd"/>
            <w:r w:rsidR="00D94E54">
              <w:rPr>
                <w:rFonts w:cs="Arial"/>
                <w:shd w:val="clear" w:color="auto" w:fill="FFFFFF"/>
              </w:rPr>
              <w:t xml:space="preserve"> Road, Boondall</w:t>
            </w:r>
            <w:r w:rsidR="00F81EE1">
              <w:rPr>
                <w:rFonts w:cs="Arial"/>
                <w:shd w:val="clear" w:color="auto" w:fill="FFFFFF"/>
              </w:rPr>
              <w:t>,</w:t>
            </w:r>
            <w:r w:rsidR="00D94E54">
              <w:rPr>
                <w:rFonts w:cs="Arial"/>
                <w:shd w:val="clear" w:color="auto" w:fill="FFFFFF"/>
              </w:rPr>
              <w:t xml:space="preserve"> was identified </w:t>
            </w:r>
            <w:r w:rsidR="0076693E">
              <w:rPr>
                <w:rFonts w:cs="Arial"/>
                <w:shd w:val="clear" w:color="auto" w:fill="FFFFFF"/>
              </w:rPr>
              <w:t xml:space="preserve">through the audit </w:t>
            </w:r>
            <w:r w:rsidR="00D94E54">
              <w:rPr>
                <w:rFonts w:cs="Arial"/>
                <w:shd w:val="clear" w:color="auto" w:fill="FFFFFF"/>
              </w:rPr>
              <w:t xml:space="preserve">as </w:t>
            </w:r>
            <w:r w:rsidR="0076693E">
              <w:rPr>
                <w:rFonts w:cs="Arial"/>
                <w:shd w:val="clear" w:color="auto" w:fill="FFFFFF"/>
              </w:rPr>
              <w:t xml:space="preserve">being suitable </w:t>
            </w:r>
            <w:r w:rsidR="00F81EE1">
              <w:rPr>
                <w:rFonts w:cs="Arial"/>
                <w:shd w:val="clear" w:color="auto" w:fill="FFFFFF"/>
              </w:rPr>
              <w:t xml:space="preserve">for a </w:t>
            </w:r>
            <w:r w:rsidR="0076693E">
              <w:rPr>
                <w:rFonts w:cs="Arial"/>
                <w:shd w:val="clear" w:color="auto" w:fill="FFFFFF"/>
              </w:rPr>
              <w:t xml:space="preserve">change </w:t>
            </w:r>
            <w:r w:rsidR="00F81EE1">
              <w:rPr>
                <w:rFonts w:cs="Arial"/>
                <w:shd w:val="clear" w:color="auto" w:fill="FFFFFF"/>
              </w:rPr>
              <w:t xml:space="preserve">of </w:t>
            </w:r>
            <w:r w:rsidR="0076693E">
              <w:rPr>
                <w:rFonts w:cs="Arial"/>
                <w:shd w:val="clear" w:color="auto" w:fill="FFFFFF"/>
              </w:rPr>
              <w:t>zone</w:t>
            </w:r>
            <w:r>
              <w:rPr>
                <w:rFonts w:cs="Arial"/>
                <w:shd w:val="clear" w:color="auto" w:fill="FFFFFF"/>
              </w:rPr>
              <w:t xml:space="preserve"> as it is largely unconstrained and suitable for low</w:t>
            </w:r>
            <w:r w:rsidR="00F81EE1">
              <w:rPr>
                <w:rFonts w:cs="Arial"/>
                <w:shd w:val="clear" w:color="auto" w:fill="FFFFFF"/>
              </w:rPr>
              <w:t>-</w:t>
            </w:r>
            <w:r>
              <w:rPr>
                <w:rFonts w:cs="Arial"/>
                <w:shd w:val="clear" w:color="auto" w:fill="FFFFFF"/>
              </w:rPr>
              <w:t>density residential development</w:t>
            </w:r>
            <w:r w:rsidR="00D94E54">
              <w:rPr>
                <w:rFonts w:cs="Arial"/>
                <w:shd w:val="clear" w:color="auto" w:fill="FFFFFF"/>
              </w:rPr>
              <w:t xml:space="preserve">. </w:t>
            </w:r>
            <w:r>
              <w:rPr>
                <w:rFonts w:cs="Arial"/>
                <w:shd w:val="clear" w:color="auto" w:fill="FFFFFF"/>
              </w:rPr>
              <w:t xml:space="preserve">The surrounding sites retained in the Emerging community zone were not considered suitable for a change </w:t>
            </w:r>
            <w:r w:rsidR="00F81EE1">
              <w:rPr>
                <w:rFonts w:cs="Arial"/>
                <w:shd w:val="clear" w:color="auto" w:fill="FFFFFF"/>
              </w:rPr>
              <w:t xml:space="preserve">of zone </w:t>
            </w:r>
            <w:r>
              <w:rPr>
                <w:rFonts w:cs="Arial"/>
                <w:shd w:val="clear" w:color="auto" w:fill="FFFFFF"/>
              </w:rPr>
              <w:t>under this major amendment</w:t>
            </w:r>
            <w:r w:rsidR="00F81EE1">
              <w:rPr>
                <w:rFonts w:cs="Arial"/>
                <w:shd w:val="clear" w:color="auto" w:fill="FFFFFF"/>
              </w:rPr>
              <w:t>,</w:t>
            </w:r>
            <w:r>
              <w:rPr>
                <w:rFonts w:cs="Arial"/>
                <w:shd w:val="clear" w:color="auto" w:fill="FFFFFF"/>
              </w:rPr>
              <w:t xml:space="preserve"> as they have already been subject to development</w:t>
            </w:r>
            <w:r w:rsidR="007A3167">
              <w:rPr>
                <w:rFonts w:cs="Arial"/>
                <w:shd w:val="clear" w:color="auto" w:fill="FFFFFF"/>
              </w:rPr>
              <w:t xml:space="preserve"> applications</w:t>
            </w:r>
            <w:r w:rsidR="00D94E54">
              <w:rPr>
                <w:rFonts w:cs="Arial"/>
                <w:shd w:val="clear" w:color="auto" w:fill="FFFFFF"/>
              </w:rPr>
              <w:t xml:space="preserve">. </w:t>
            </w:r>
          </w:p>
          <w:p w14:paraId="168FB35C" w14:textId="77777777" w:rsidR="0076693E" w:rsidRDefault="0076693E" w:rsidP="002D0222">
            <w:pPr>
              <w:spacing w:after="0"/>
              <w:rPr>
                <w:rFonts w:cs="Arial"/>
                <w:shd w:val="clear" w:color="auto" w:fill="FFFFFF"/>
              </w:rPr>
            </w:pPr>
          </w:p>
          <w:p w14:paraId="275557C2" w14:textId="1B1051A0" w:rsidR="000433F3" w:rsidRPr="002B3D9B" w:rsidRDefault="00D94E54" w:rsidP="002D0222">
            <w:pPr>
              <w:spacing w:after="0"/>
              <w:rPr>
                <w:rFonts w:cs="Arial"/>
                <w:shd w:val="clear" w:color="auto" w:fill="FFFFFF"/>
              </w:rPr>
            </w:pPr>
            <w:r>
              <w:rPr>
                <w:rFonts w:cs="Arial"/>
                <w:shd w:val="clear" w:color="auto" w:fill="FFFFFF"/>
              </w:rPr>
              <w:lastRenderedPageBreak/>
              <w:t xml:space="preserve">The proposed Low density residential zone of 112 </w:t>
            </w:r>
            <w:proofErr w:type="spellStart"/>
            <w:r>
              <w:rPr>
                <w:rFonts w:cs="Arial"/>
                <w:shd w:val="clear" w:color="auto" w:fill="FFFFFF"/>
              </w:rPr>
              <w:t>Groth</w:t>
            </w:r>
            <w:proofErr w:type="spellEnd"/>
            <w:r>
              <w:rPr>
                <w:rFonts w:cs="Arial"/>
                <w:shd w:val="clear" w:color="auto" w:fill="FFFFFF"/>
              </w:rPr>
              <w:t xml:space="preserve"> Road is consistent with residential lots to the north of the site and properties on the eastern side of </w:t>
            </w:r>
            <w:proofErr w:type="spellStart"/>
            <w:r>
              <w:rPr>
                <w:rFonts w:cs="Arial"/>
                <w:shd w:val="clear" w:color="auto" w:fill="FFFFFF"/>
              </w:rPr>
              <w:t>Groth</w:t>
            </w:r>
            <w:proofErr w:type="spellEnd"/>
            <w:r>
              <w:rPr>
                <w:rFonts w:cs="Arial"/>
                <w:shd w:val="clear" w:color="auto" w:fill="FFFFFF"/>
              </w:rPr>
              <w:t xml:space="preserve"> Road. </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101485D2" w14:textId="77777777" w:rsidR="00D94E54" w:rsidRPr="002A53B6" w:rsidRDefault="00D94E54" w:rsidP="00447B35">
            <w:pPr>
              <w:pStyle w:val="SubmissionTable"/>
              <w:spacing w:before="0" w:after="0"/>
              <w:rPr>
                <w:rFonts w:cs="Arial"/>
                <w:sz w:val="20"/>
                <w:lang w:val="en-AU"/>
              </w:rPr>
            </w:pPr>
            <w:r w:rsidRPr="002A53B6">
              <w:rPr>
                <w:rFonts w:cs="Arial"/>
                <w:sz w:val="20"/>
                <w:lang w:val="en-AU"/>
              </w:rPr>
              <w:lastRenderedPageBreak/>
              <w:t>No change</w:t>
            </w:r>
          </w:p>
        </w:tc>
      </w:tr>
      <w:tr w:rsidR="00516861" w:rsidRPr="002A53B6" w14:paraId="4D790F66" w14:textId="77777777" w:rsidTr="000433F3">
        <w:trPr>
          <w:trHeight w:val="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170C7A72" w14:textId="4CD258D1" w:rsidR="00516861" w:rsidRPr="002A53B6" w:rsidRDefault="00516861" w:rsidP="002D0222">
            <w:pPr>
              <w:spacing w:after="0"/>
              <w:rPr>
                <w:shd w:val="clear" w:color="auto" w:fill="FFFFFF"/>
              </w:rPr>
            </w:pPr>
            <w:r w:rsidRPr="007A68BE">
              <w:rPr>
                <w:rFonts w:cs="Arial"/>
                <w:lang w:val="en-AU"/>
              </w:rPr>
              <w:t>MK-049</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74F0A32F" w14:textId="451638C8" w:rsidR="00516861" w:rsidRDefault="00516861" w:rsidP="00516861">
            <w:pPr>
              <w:pStyle w:val="SubmissionTable"/>
              <w:spacing w:before="0" w:after="0"/>
              <w:rPr>
                <w:rFonts w:cs="Arial"/>
                <w:sz w:val="20"/>
                <w:shd w:val="clear" w:color="auto" w:fill="FFFFFF"/>
              </w:rPr>
            </w:pPr>
            <w:r>
              <w:rPr>
                <w:rFonts w:cs="Arial"/>
                <w:sz w:val="20"/>
                <w:shd w:val="clear" w:color="auto" w:fill="FFFFFF"/>
              </w:rPr>
              <w:t>The s</w:t>
            </w:r>
            <w:r w:rsidRPr="002A53B6">
              <w:rPr>
                <w:rFonts w:cs="Arial"/>
                <w:sz w:val="20"/>
                <w:shd w:val="clear" w:color="auto" w:fill="FFFFFF"/>
              </w:rPr>
              <w:t>ubmitter requests</w:t>
            </w:r>
            <w:r>
              <w:rPr>
                <w:rFonts w:cs="Arial"/>
                <w:sz w:val="20"/>
                <w:shd w:val="clear" w:color="auto" w:fill="FFFFFF"/>
              </w:rPr>
              <w:t xml:space="preserve"> rezoning </w:t>
            </w:r>
            <w:r w:rsidR="00F81EE1">
              <w:rPr>
                <w:rFonts w:cs="Arial"/>
                <w:sz w:val="20"/>
                <w:shd w:val="clear" w:color="auto" w:fill="FFFFFF"/>
              </w:rPr>
              <w:t xml:space="preserve">of </w:t>
            </w:r>
            <w:r w:rsidRPr="002A53B6">
              <w:rPr>
                <w:rFonts w:cs="Arial"/>
                <w:sz w:val="20"/>
                <w:shd w:val="clear" w:color="auto" w:fill="FFFFFF"/>
              </w:rPr>
              <w:t>6 Cowie Road, Carseldine</w:t>
            </w:r>
            <w:r w:rsidR="00F81EE1">
              <w:rPr>
                <w:rFonts w:cs="Arial"/>
                <w:sz w:val="20"/>
                <w:shd w:val="clear" w:color="auto" w:fill="FFFFFF"/>
              </w:rPr>
              <w:t>,</w:t>
            </w:r>
            <w:r w:rsidRPr="002A53B6">
              <w:rPr>
                <w:rFonts w:cs="Arial"/>
                <w:sz w:val="20"/>
                <w:shd w:val="clear" w:color="auto" w:fill="FFFFFF"/>
              </w:rPr>
              <w:t xml:space="preserve"> </w:t>
            </w:r>
            <w:r>
              <w:rPr>
                <w:rFonts w:cs="Arial"/>
                <w:sz w:val="20"/>
                <w:shd w:val="clear" w:color="auto" w:fill="FFFFFF"/>
              </w:rPr>
              <w:t xml:space="preserve">from </w:t>
            </w:r>
            <w:r w:rsidR="00F81EE1">
              <w:rPr>
                <w:rFonts w:cs="Arial"/>
                <w:sz w:val="20"/>
                <w:shd w:val="clear" w:color="auto" w:fill="FFFFFF"/>
              </w:rPr>
              <w:t xml:space="preserve">the </w:t>
            </w:r>
            <w:r w:rsidRPr="002A53B6">
              <w:rPr>
                <w:rFonts w:cs="Arial"/>
                <w:sz w:val="20"/>
                <w:shd w:val="clear" w:color="auto" w:fill="FFFFFF"/>
              </w:rPr>
              <w:t>Emerging community zone to</w:t>
            </w:r>
            <w:r>
              <w:rPr>
                <w:rFonts w:cs="Arial"/>
                <w:sz w:val="20"/>
                <w:shd w:val="clear" w:color="auto" w:fill="FFFFFF"/>
              </w:rPr>
              <w:t xml:space="preserve"> the</w:t>
            </w:r>
            <w:r w:rsidRPr="002A53B6">
              <w:rPr>
                <w:rFonts w:cs="Arial"/>
                <w:sz w:val="20"/>
                <w:shd w:val="clear" w:color="auto" w:fill="FFFFFF"/>
              </w:rPr>
              <w:t xml:space="preserve"> </w:t>
            </w:r>
            <w:proofErr w:type="gramStart"/>
            <w:r w:rsidRPr="002A53B6">
              <w:rPr>
                <w:rFonts w:cs="Arial"/>
                <w:sz w:val="20"/>
                <w:shd w:val="clear" w:color="auto" w:fill="FFFFFF"/>
              </w:rPr>
              <w:t>Low density</w:t>
            </w:r>
            <w:proofErr w:type="gramEnd"/>
            <w:r w:rsidRPr="002A53B6">
              <w:rPr>
                <w:rFonts w:cs="Arial"/>
                <w:sz w:val="20"/>
                <w:shd w:val="clear" w:color="auto" w:fill="FFFFFF"/>
              </w:rPr>
              <w:t xml:space="preserve"> residential zone for the following reasons</w:t>
            </w:r>
            <w:r w:rsidR="007E4047">
              <w:rPr>
                <w:rFonts w:cs="Arial"/>
                <w:sz w:val="20"/>
                <w:shd w:val="clear" w:color="auto" w:fill="FFFFFF"/>
              </w:rPr>
              <w:t>.</w:t>
            </w:r>
            <w:r w:rsidRPr="002A53B6">
              <w:rPr>
                <w:rFonts w:cs="Arial"/>
                <w:sz w:val="20"/>
                <w:shd w:val="clear" w:color="auto" w:fill="FFFFFF"/>
              </w:rPr>
              <w:t xml:space="preserve"> </w:t>
            </w:r>
          </w:p>
          <w:p w14:paraId="4EB13085" w14:textId="4BB495E1" w:rsidR="00516861" w:rsidRDefault="00516861" w:rsidP="00516861">
            <w:pPr>
              <w:pStyle w:val="SubmissionTable"/>
              <w:numPr>
                <w:ilvl w:val="0"/>
                <w:numId w:val="25"/>
              </w:numPr>
              <w:spacing w:before="0" w:after="0"/>
              <w:rPr>
                <w:rFonts w:cs="Arial"/>
                <w:sz w:val="20"/>
                <w:shd w:val="clear" w:color="auto" w:fill="FFFFFF"/>
              </w:rPr>
            </w:pPr>
            <w:r w:rsidRPr="002A53B6">
              <w:rPr>
                <w:rFonts w:cs="Arial"/>
                <w:sz w:val="20"/>
                <w:shd w:val="clear" w:color="auto" w:fill="FFFFFF"/>
              </w:rPr>
              <w:t xml:space="preserve">The site is in the Bracken Ridge and district </w:t>
            </w:r>
            <w:proofErr w:type="spellStart"/>
            <w:r w:rsidRPr="002A53B6">
              <w:rPr>
                <w:rFonts w:cs="Arial"/>
                <w:sz w:val="20"/>
                <w:shd w:val="clear" w:color="auto" w:fill="FFFFFF"/>
              </w:rPr>
              <w:t>neighbourhood</w:t>
            </w:r>
            <w:proofErr w:type="spellEnd"/>
            <w:r w:rsidRPr="002A53B6">
              <w:rPr>
                <w:rFonts w:cs="Arial"/>
                <w:sz w:val="20"/>
                <w:shd w:val="clear" w:color="auto" w:fill="FFFFFF"/>
              </w:rPr>
              <w:t xml:space="preserve"> plan (Carseldine residential precinct – NPP-001), however there are no specific requirements for the site.</w:t>
            </w:r>
          </w:p>
          <w:p w14:paraId="7E9F2E43" w14:textId="2CC00E17" w:rsidR="00516861" w:rsidRDefault="00516861" w:rsidP="00516861">
            <w:pPr>
              <w:pStyle w:val="SubmissionTable"/>
              <w:numPr>
                <w:ilvl w:val="0"/>
                <w:numId w:val="25"/>
              </w:numPr>
              <w:spacing w:before="0" w:after="0"/>
              <w:rPr>
                <w:rFonts w:cs="Arial"/>
                <w:sz w:val="20"/>
                <w:shd w:val="clear" w:color="auto" w:fill="FFFFFF"/>
              </w:rPr>
            </w:pPr>
            <w:r w:rsidRPr="002A53B6">
              <w:rPr>
                <w:rFonts w:cs="Arial"/>
                <w:sz w:val="20"/>
                <w:shd w:val="clear" w:color="auto" w:fill="FFFFFF"/>
              </w:rPr>
              <w:t xml:space="preserve">The surrounding adjoining sites and across both roads </w:t>
            </w:r>
            <w:r w:rsidR="00F81EE1">
              <w:rPr>
                <w:rFonts w:cs="Arial"/>
                <w:sz w:val="20"/>
                <w:shd w:val="clear" w:color="auto" w:fill="FFFFFF"/>
              </w:rPr>
              <w:t>are zoned</w:t>
            </w:r>
            <w:r w:rsidRPr="002A53B6">
              <w:rPr>
                <w:rFonts w:cs="Arial"/>
                <w:sz w:val="20"/>
                <w:shd w:val="clear" w:color="auto" w:fill="FFFFFF"/>
              </w:rPr>
              <w:t xml:space="preserve"> Low density residential. </w:t>
            </w:r>
          </w:p>
          <w:p w14:paraId="3BBEB946" w14:textId="77777777" w:rsidR="00516861" w:rsidRDefault="00516861" w:rsidP="00516861">
            <w:pPr>
              <w:pStyle w:val="SubmissionTable"/>
              <w:numPr>
                <w:ilvl w:val="0"/>
                <w:numId w:val="25"/>
              </w:numPr>
              <w:spacing w:before="0" w:after="0"/>
              <w:rPr>
                <w:rFonts w:cs="Arial"/>
                <w:sz w:val="20"/>
                <w:shd w:val="clear" w:color="auto" w:fill="FFFFFF"/>
              </w:rPr>
            </w:pPr>
            <w:r w:rsidRPr="002A53B6">
              <w:rPr>
                <w:rFonts w:cs="Arial"/>
                <w:sz w:val="20"/>
                <w:shd w:val="clear" w:color="auto" w:fill="FFFFFF"/>
              </w:rPr>
              <w:t xml:space="preserve">The site is suited for urban purposes and no longer suits the purpose of the zone. </w:t>
            </w:r>
          </w:p>
          <w:p w14:paraId="1ED692DD" w14:textId="3938378C" w:rsidR="00516861" w:rsidRDefault="00516861" w:rsidP="00516861">
            <w:pPr>
              <w:pStyle w:val="SubmissionTable"/>
              <w:numPr>
                <w:ilvl w:val="0"/>
                <w:numId w:val="25"/>
              </w:numPr>
              <w:spacing w:before="0" w:after="0"/>
              <w:rPr>
                <w:rFonts w:cs="Arial"/>
                <w:sz w:val="20"/>
                <w:shd w:val="clear" w:color="auto" w:fill="FFFFFF"/>
              </w:rPr>
            </w:pPr>
            <w:r w:rsidRPr="002A53B6">
              <w:rPr>
                <w:rFonts w:cs="Arial"/>
                <w:sz w:val="20"/>
                <w:shd w:val="clear" w:color="auto" w:fill="FFFFFF"/>
              </w:rPr>
              <w:t>It would facilitate the creation of lots which provide for a variety of low</w:t>
            </w:r>
            <w:r w:rsidR="00F81EE1">
              <w:rPr>
                <w:rFonts w:cs="Arial"/>
                <w:sz w:val="20"/>
                <w:shd w:val="clear" w:color="auto" w:fill="FFFFFF"/>
              </w:rPr>
              <w:t>-</w:t>
            </w:r>
            <w:r w:rsidRPr="002A53B6">
              <w:rPr>
                <w:rFonts w:cs="Arial"/>
                <w:sz w:val="20"/>
                <w:shd w:val="clear" w:color="auto" w:fill="FFFFFF"/>
              </w:rPr>
              <w:t xml:space="preserve">density dwelling types, which would be suitable given the surrounding zoning and development, along with the site's accessibility and proximity to open space, health care services and a shopping </w:t>
            </w:r>
            <w:proofErr w:type="spellStart"/>
            <w:r w:rsidRPr="002A53B6">
              <w:rPr>
                <w:rFonts w:cs="Arial"/>
                <w:sz w:val="20"/>
                <w:shd w:val="clear" w:color="auto" w:fill="FFFFFF"/>
              </w:rPr>
              <w:t>centre</w:t>
            </w:r>
            <w:proofErr w:type="spellEnd"/>
            <w:r w:rsidRPr="002A53B6">
              <w:rPr>
                <w:rFonts w:cs="Arial"/>
                <w:sz w:val="20"/>
                <w:shd w:val="clear" w:color="auto" w:fill="FFFFFF"/>
              </w:rPr>
              <w:t xml:space="preserve">. </w:t>
            </w:r>
          </w:p>
          <w:p w14:paraId="438B1FA7" w14:textId="77777777" w:rsidR="008D1A35" w:rsidRDefault="00516861" w:rsidP="00516861">
            <w:pPr>
              <w:pStyle w:val="SubmissionTable"/>
              <w:numPr>
                <w:ilvl w:val="0"/>
                <w:numId w:val="25"/>
              </w:numPr>
              <w:spacing w:before="0" w:after="0"/>
              <w:rPr>
                <w:rFonts w:cs="Arial"/>
                <w:sz w:val="20"/>
                <w:shd w:val="clear" w:color="auto" w:fill="FFFFFF"/>
              </w:rPr>
            </w:pPr>
            <w:r w:rsidRPr="002A53B6">
              <w:rPr>
                <w:rFonts w:cs="Arial"/>
                <w:sz w:val="20"/>
                <w:shd w:val="clear" w:color="auto" w:fill="FFFFFF"/>
              </w:rPr>
              <w:t xml:space="preserve">An application (A005663635) for the subdivision of the site is currently under assessment. The proposed lots are consistent with the </w:t>
            </w:r>
            <w:proofErr w:type="gramStart"/>
            <w:r w:rsidRPr="002A53B6">
              <w:rPr>
                <w:rFonts w:cs="Arial"/>
                <w:sz w:val="20"/>
                <w:shd w:val="clear" w:color="auto" w:fill="FFFFFF"/>
              </w:rPr>
              <w:t>Low density</w:t>
            </w:r>
            <w:proofErr w:type="gramEnd"/>
            <w:r w:rsidRPr="002A53B6">
              <w:rPr>
                <w:rFonts w:cs="Arial"/>
                <w:sz w:val="20"/>
                <w:shd w:val="clear" w:color="auto" w:fill="FFFFFF"/>
              </w:rPr>
              <w:t xml:space="preserve"> residential zone. A structure plan was lodged as part of the development application. </w:t>
            </w:r>
          </w:p>
          <w:p w14:paraId="54C213FF" w14:textId="7C64D6A3" w:rsidR="00516861" w:rsidRPr="00F81EE1" w:rsidRDefault="00516861" w:rsidP="00516861">
            <w:pPr>
              <w:pStyle w:val="SubmissionTable"/>
              <w:numPr>
                <w:ilvl w:val="0"/>
                <w:numId w:val="25"/>
              </w:numPr>
              <w:spacing w:before="0" w:after="0"/>
              <w:rPr>
                <w:rFonts w:cs="Arial"/>
                <w:sz w:val="20"/>
                <w:shd w:val="clear" w:color="auto" w:fill="FFFFFF"/>
              </w:rPr>
            </w:pPr>
            <w:r w:rsidRPr="00F81EE1">
              <w:rPr>
                <w:rFonts w:cs="Arial"/>
                <w:sz w:val="20"/>
                <w:shd w:val="clear" w:color="auto" w:fill="FFFFFF"/>
              </w:rPr>
              <w:t>As the subject site has ready access to constructed roads and services (as well as future infrastructure projects), the existing zoning of Emerging community is no longer suitable.</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6F78D10F" w14:textId="1313F799" w:rsidR="00C86CB3" w:rsidRPr="00AF1AA9" w:rsidRDefault="00516861" w:rsidP="00516861">
            <w:pPr>
              <w:tabs>
                <w:tab w:val="left" w:pos="1185"/>
              </w:tabs>
              <w:spacing w:after="0"/>
              <w:rPr>
                <w:rFonts w:cs="Arial"/>
                <w:color w:val="000000"/>
                <w:shd w:val="clear" w:color="auto" w:fill="FFFFFF"/>
              </w:rPr>
            </w:pPr>
            <w:r>
              <w:rPr>
                <w:rFonts w:cs="Arial"/>
                <w:color w:val="000000"/>
                <w:shd w:val="clear" w:color="auto" w:fill="FFFFFF"/>
              </w:rPr>
              <w:t xml:space="preserve">A review of Emerging community sites was undertaken in response to </w:t>
            </w:r>
            <w:r w:rsidR="007E4047">
              <w:t xml:space="preserve">BFP - </w:t>
            </w:r>
          </w:p>
          <w:p w14:paraId="6D66E2FD" w14:textId="77777777" w:rsidR="00516861" w:rsidRPr="003C19A7" w:rsidRDefault="00516861" w:rsidP="00516861">
            <w:pPr>
              <w:spacing w:after="0"/>
              <w:rPr>
                <w:i/>
                <w:iCs/>
              </w:rPr>
            </w:pPr>
            <w:r w:rsidRPr="003C19A7">
              <w:rPr>
                <w:i/>
                <w:iCs/>
              </w:rPr>
              <w:t>Ensure that suburban development fits in with its surroundings. Audit Emerging Community land and rezone to Low Density Residential land where appropriate.</w:t>
            </w:r>
          </w:p>
          <w:p w14:paraId="1F1EFFD8" w14:textId="77777777" w:rsidR="00516861" w:rsidRDefault="00516861" w:rsidP="00516861">
            <w:pPr>
              <w:spacing w:after="0"/>
            </w:pPr>
          </w:p>
          <w:p w14:paraId="17BD058D" w14:textId="498AA34D" w:rsidR="000433F3" w:rsidRDefault="00516861" w:rsidP="00516861">
            <w:pPr>
              <w:spacing w:after="0"/>
            </w:pPr>
            <w:r w:rsidRPr="005C14A9">
              <w:rPr>
                <w:lang w:val="en-AU"/>
              </w:rPr>
              <w:t xml:space="preserve">The audit assessed the suitability of lots changing from the Emerging community zone to the </w:t>
            </w:r>
            <w:proofErr w:type="gramStart"/>
            <w:r w:rsidRPr="005C14A9">
              <w:rPr>
                <w:lang w:val="en-AU"/>
              </w:rPr>
              <w:t>Low density</w:t>
            </w:r>
            <w:proofErr w:type="gramEnd"/>
            <w:r w:rsidRPr="005C14A9">
              <w:rPr>
                <w:lang w:val="en-AU"/>
              </w:rPr>
              <w:t xml:space="preserve"> residential zone against factors such as whether or not the area is in a neighbourhood plan and the number and type of constraints</w:t>
            </w:r>
            <w:r>
              <w:t>.</w:t>
            </w:r>
          </w:p>
          <w:p w14:paraId="737B1298" w14:textId="77777777" w:rsidR="0092551B" w:rsidRDefault="0092551B" w:rsidP="00516861">
            <w:pPr>
              <w:tabs>
                <w:tab w:val="left" w:pos="1185"/>
              </w:tabs>
              <w:spacing w:after="0"/>
              <w:rPr>
                <w:rFonts w:cs="Arial"/>
                <w:color w:val="000000"/>
                <w:shd w:val="clear" w:color="auto" w:fill="FFFFFF"/>
              </w:rPr>
            </w:pPr>
          </w:p>
          <w:p w14:paraId="3485FA66" w14:textId="18523443" w:rsidR="000433F3" w:rsidRPr="000433F3" w:rsidRDefault="00516861" w:rsidP="000433F3">
            <w:pPr>
              <w:tabs>
                <w:tab w:val="left" w:pos="1185"/>
              </w:tabs>
              <w:spacing w:after="0"/>
              <w:rPr>
                <w:rFonts w:cs="Arial"/>
                <w:color w:val="000000"/>
                <w:shd w:val="clear" w:color="auto" w:fill="FFFFFF"/>
              </w:rPr>
            </w:pPr>
            <w:r>
              <w:rPr>
                <w:rFonts w:cs="Arial"/>
                <w:color w:val="000000"/>
                <w:shd w:val="clear" w:color="auto" w:fill="FFFFFF"/>
              </w:rPr>
              <w:t>In the case of 6 Cowie Street, Carseldine, this property was excluded as it did not meet the above requirements.</w:t>
            </w:r>
            <w:r w:rsidR="0092551B">
              <w:rPr>
                <w:rFonts w:cs="Arial"/>
                <w:color w:val="000000"/>
                <w:shd w:val="clear" w:color="auto" w:fill="FFFFFF"/>
              </w:rPr>
              <w:t xml:space="preserve"> It is noted </w:t>
            </w:r>
            <w:r w:rsidR="00AB30C3">
              <w:rPr>
                <w:rFonts w:cs="Arial"/>
                <w:color w:val="000000"/>
                <w:shd w:val="clear" w:color="auto" w:fill="FFFFFF"/>
              </w:rPr>
              <w:t xml:space="preserve">that </w:t>
            </w:r>
            <w:r w:rsidR="0092551B">
              <w:rPr>
                <w:rFonts w:cs="Arial"/>
                <w:color w:val="000000"/>
                <w:shd w:val="clear" w:color="auto" w:fill="FFFFFF"/>
              </w:rPr>
              <w:t xml:space="preserve">the development application for subdivision of the land has been approved, therefore the property will be included on a list for future investigation for a zoning change to reflect </w:t>
            </w:r>
            <w:r w:rsidR="00AB30C3">
              <w:rPr>
                <w:rFonts w:cs="Arial"/>
                <w:color w:val="000000"/>
                <w:shd w:val="clear" w:color="auto" w:fill="FFFFFF"/>
              </w:rPr>
              <w:t xml:space="preserve">the </w:t>
            </w:r>
            <w:r w:rsidR="0092551B">
              <w:rPr>
                <w:rFonts w:cs="Arial"/>
                <w:color w:val="000000"/>
                <w:shd w:val="clear" w:color="auto" w:fill="FFFFFF"/>
              </w:rPr>
              <w:t>development approval. Council does not make any planning scheme changes to reflect a development approval until the approval has been enacted.</w:t>
            </w:r>
          </w:p>
        </w:tc>
        <w:tc>
          <w:tcPr>
            <w:tcW w:w="1454" w:type="dxa"/>
            <w:tcBorders>
              <w:top w:val="single" w:sz="4" w:space="0" w:color="auto"/>
              <w:left w:val="single" w:sz="4" w:space="0" w:color="auto"/>
              <w:bottom w:val="single" w:sz="4" w:space="0" w:color="auto"/>
              <w:right w:val="single" w:sz="4" w:space="0" w:color="auto"/>
            </w:tcBorders>
            <w:shd w:val="clear" w:color="auto" w:fill="auto"/>
          </w:tcPr>
          <w:p w14:paraId="12E3EFF4" w14:textId="1798517D" w:rsidR="00516861" w:rsidRPr="002A53B6" w:rsidRDefault="00516861" w:rsidP="00447B35">
            <w:pPr>
              <w:pStyle w:val="SubmissionTable"/>
              <w:spacing w:before="0" w:after="0"/>
              <w:rPr>
                <w:rFonts w:cs="Arial"/>
                <w:sz w:val="20"/>
                <w:lang w:val="en-AU"/>
              </w:rPr>
            </w:pPr>
            <w:r>
              <w:rPr>
                <w:rFonts w:cs="Arial"/>
                <w:sz w:val="20"/>
                <w:lang w:val="en-AU"/>
              </w:rPr>
              <w:t>No change</w:t>
            </w:r>
          </w:p>
        </w:tc>
      </w:tr>
    </w:tbl>
    <w:p w14:paraId="01F31B27" w14:textId="4D18C06D" w:rsidR="007A61CC" w:rsidRPr="002A53B6" w:rsidRDefault="007A61CC" w:rsidP="002D0222">
      <w:pPr>
        <w:pStyle w:val="Heading3"/>
        <w:spacing w:after="0"/>
        <w:ind w:left="142"/>
        <w:rPr>
          <w:rFonts w:cs="Arial"/>
          <w:lang w:val="en-AU"/>
        </w:rPr>
      </w:pPr>
      <w:r w:rsidRPr="002A53B6">
        <w:rPr>
          <w:rFonts w:cs="Arial"/>
          <w:lang w:val="en-AU"/>
        </w:rPr>
        <w:br w:type="page"/>
      </w:r>
    </w:p>
    <w:p w14:paraId="27F11325" w14:textId="353DBE2A" w:rsidR="004076DB" w:rsidRDefault="00781DA5" w:rsidP="002D0222">
      <w:pPr>
        <w:pStyle w:val="Heading3"/>
        <w:spacing w:after="0"/>
        <w:ind w:left="851" w:hanging="851"/>
        <w:rPr>
          <w:rFonts w:cs="Arial"/>
          <w:lang w:val="en-AU"/>
        </w:rPr>
      </w:pPr>
      <w:bookmarkStart w:id="15" w:name="_Toc117175563"/>
      <w:r w:rsidRPr="002A53B6">
        <w:rPr>
          <w:rFonts w:cs="Arial"/>
          <w:lang w:val="en-AU"/>
        </w:rPr>
        <w:lastRenderedPageBreak/>
        <w:t>3.2</w:t>
      </w:r>
      <w:r w:rsidR="00CB51D5" w:rsidRPr="002A53B6">
        <w:rPr>
          <w:rFonts w:cs="Arial"/>
          <w:lang w:val="en-AU"/>
        </w:rPr>
        <w:tab/>
      </w:r>
      <w:r w:rsidR="00003435" w:rsidRPr="002A53B6">
        <w:rPr>
          <w:rFonts w:cs="Arial"/>
          <w:lang w:val="en-AU"/>
        </w:rPr>
        <w:t>Overlay changes</w:t>
      </w:r>
      <w:bookmarkEnd w:id="15"/>
    </w:p>
    <w:p w14:paraId="1CB5306B" w14:textId="77777777" w:rsidR="003239EB" w:rsidRPr="003239EB" w:rsidRDefault="003239EB" w:rsidP="003239EB">
      <w:pPr>
        <w:spacing w:after="0"/>
        <w:rPr>
          <w:lang w:val="en-AU"/>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72"/>
        <w:gridCol w:w="5669"/>
        <w:gridCol w:w="5559"/>
        <w:gridCol w:w="1559"/>
      </w:tblGrid>
      <w:tr w:rsidR="004076DB" w:rsidRPr="002A53B6" w14:paraId="590EEE0A" w14:textId="77777777" w:rsidTr="007E4047">
        <w:trPr>
          <w:trHeight w:val="58"/>
          <w:tblHeader/>
        </w:trPr>
        <w:tc>
          <w:tcPr>
            <w:tcW w:w="1672" w:type="dxa"/>
            <w:shd w:val="clear" w:color="auto" w:fill="D9D9D9" w:themeFill="background1" w:themeFillShade="D9"/>
            <w:noWrap/>
          </w:tcPr>
          <w:p w14:paraId="1B2319B0" w14:textId="77777777" w:rsidR="004076DB" w:rsidRPr="002A53B6" w:rsidRDefault="004076DB" w:rsidP="002D0222">
            <w:pPr>
              <w:pStyle w:val="SubmissionTableHeadingBold"/>
              <w:spacing w:before="0" w:after="0"/>
              <w:rPr>
                <w:rFonts w:cs="Arial"/>
                <w:sz w:val="20"/>
                <w:lang w:val="en-AU"/>
              </w:rPr>
            </w:pPr>
            <w:r w:rsidRPr="002A53B6">
              <w:rPr>
                <w:rFonts w:cs="Arial"/>
                <w:sz w:val="20"/>
                <w:lang w:val="en-AU"/>
              </w:rPr>
              <w:t>Submission Reference</w:t>
            </w:r>
          </w:p>
        </w:tc>
        <w:tc>
          <w:tcPr>
            <w:tcW w:w="5669" w:type="dxa"/>
            <w:shd w:val="clear" w:color="auto" w:fill="D9D9D9" w:themeFill="background1" w:themeFillShade="D9"/>
          </w:tcPr>
          <w:p w14:paraId="2C9D3D3F" w14:textId="77777777" w:rsidR="004076DB" w:rsidRPr="002A53B6" w:rsidRDefault="004076DB" w:rsidP="002D0222">
            <w:pPr>
              <w:pStyle w:val="SubmissionTableHeadingBold"/>
              <w:spacing w:before="0" w:after="0"/>
              <w:rPr>
                <w:rFonts w:cs="Arial"/>
                <w:sz w:val="20"/>
                <w:lang w:val="en-AU"/>
              </w:rPr>
            </w:pPr>
            <w:r w:rsidRPr="002A53B6">
              <w:rPr>
                <w:rFonts w:cs="Arial"/>
                <w:sz w:val="20"/>
                <w:lang w:val="en-AU"/>
              </w:rPr>
              <w:t>Submission Summary</w:t>
            </w:r>
          </w:p>
        </w:tc>
        <w:tc>
          <w:tcPr>
            <w:tcW w:w="5559" w:type="dxa"/>
            <w:shd w:val="clear" w:color="auto" w:fill="D9D9D9" w:themeFill="background1" w:themeFillShade="D9"/>
          </w:tcPr>
          <w:p w14:paraId="2743583B" w14:textId="77777777" w:rsidR="004076DB" w:rsidRPr="002A53B6" w:rsidRDefault="004076DB" w:rsidP="002D0222">
            <w:pPr>
              <w:pStyle w:val="SubmissionTableHeadingBold"/>
              <w:spacing w:before="0" w:after="0"/>
              <w:rPr>
                <w:rFonts w:cs="Arial"/>
                <w:sz w:val="20"/>
                <w:lang w:val="en-AU"/>
              </w:rPr>
            </w:pPr>
            <w:r w:rsidRPr="002A53B6">
              <w:rPr>
                <w:rFonts w:cs="Arial"/>
                <w:sz w:val="20"/>
                <w:lang w:val="en-AU"/>
              </w:rPr>
              <w:t>Response</w:t>
            </w:r>
          </w:p>
        </w:tc>
        <w:tc>
          <w:tcPr>
            <w:tcW w:w="1559" w:type="dxa"/>
            <w:shd w:val="clear" w:color="auto" w:fill="D9D9D9" w:themeFill="background1" w:themeFillShade="D9"/>
          </w:tcPr>
          <w:p w14:paraId="5D9C87B4" w14:textId="77777777" w:rsidR="004076DB" w:rsidRPr="002A53B6" w:rsidRDefault="004076DB" w:rsidP="00447B35">
            <w:pPr>
              <w:pStyle w:val="SubmissionTableHeadingBold"/>
              <w:spacing w:before="0" w:after="0"/>
              <w:rPr>
                <w:rFonts w:cs="Arial"/>
                <w:sz w:val="20"/>
                <w:lang w:val="en-AU"/>
              </w:rPr>
            </w:pPr>
            <w:r w:rsidRPr="002A53B6">
              <w:rPr>
                <w:rFonts w:cs="Arial"/>
                <w:sz w:val="20"/>
                <w:lang w:val="en-AU"/>
              </w:rPr>
              <w:t>Change required</w:t>
            </w:r>
          </w:p>
        </w:tc>
      </w:tr>
      <w:tr w:rsidR="00970A3B" w:rsidRPr="002A53B6" w14:paraId="791F2B17" w14:textId="77777777" w:rsidTr="007E4047">
        <w:trPr>
          <w:trHeight w:val="488"/>
        </w:trPr>
        <w:tc>
          <w:tcPr>
            <w:tcW w:w="1672" w:type="dxa"/>
            <w:shd w:val="clear" w:color="auto" w:fill="auto"/>
            <w:noWrap/>
          </w:tcPr>
          <w:p w14:paraId="17110D67" w14:textId="3BC4FCE1" w:rsidR="00970A3B" w:rsidRPr="002A53B6" w:rsidRDefault="00970A3B" w:rsidP="002D0222">
            <w:pPr>
              <w:pStyle w:val="SubmissionTable"/>
              <w:spacing w:before="0" w:after="0"/>
              <w:rPr>
                <w:rFonts w:cs="Arial"/>
                <w:sz w:val="20"/>
                <w:lang w:val="en-AU"/>
              </w:rPr>
            </w:pPr>
            <w:r w:rsidRPr="002A53B6">
              <w:rPr>
                <w:rFonts w:cs="Arial"/>
                <w:sz w:val="20"/>
                <w:lang w:val="en-AU"/>
              </w:rPr>
              <w:t>MK-001</w:t>
            </w:r>
          </w:p>
        </w:tc>
        <w:tc>
          <w:tcPr>
            <w:tcW w:w="5669" w:type="dxa"/>
            <w:shd w:val="clear" w:color="auto" w:fill="auto"/>
          </w:tcPr>
          <w:p w14:paraId="043BF214" w14:textId="7C4EA638" w:rsidR="00970A3B" w:rsidRDefault="0039027D" w:rsidP="002D0222">
            <w:pPr>
              <w:spacing w:after="0"/>
              <w:rPr>
                <w:rFonts w:cs="Arial"/>
                <w:lang w:val="en-AU"/>
              </w:rPr>
            </w:pPr>
            <w:r>
              <w:rPr>
                <w:rFonts w:cs="Arial"/>
                <w:lang w:val="en-AU"/>
              </w:rPr>
              <w:t>The s</w:t>
            </w:r>
            <w:r w:rsidR="00970A3B" w:rsidRPr="002A53B6">
              <w:rPr>
                <w:rFonts w:cs="Arial"/>
                <w:lang w:val="en-AU"/>
              </w:rPr>
              <w:t xml:space="preserve">ubmitter requests </w:t>
            </w:r>
            <w:r w:rsidR="00AB30C3">
              <w:rPr>
                <w:rFonts w:cs="Arial"/>
                <w:lang w:val="en-AU"/>
              </w:rPr>
              <w:t>that</w:t>
            </w:r>
            <w:r w:rsidR="00970A3B" w:rsidRPr="002A53B6">
              <w:rPr>
                <w:rFonts w:cs="Arial"/>
                <w:lang w:val="en-AU"/>
              </w:rPr>
              <w:t xml:space="preserve"> the amendment to</w:t>
            </w:r>
            <w:r w:rsidR="00970A3B">
              <w:rPr>
                <w:rFonts w:cs="Arial"/>
                <w:lang w:val="en-AU"/>
              </w:rPr>
              <w:t xml:space="preserve"> the Streetscape hierarchy overlay</w:t>
            </w:r>
            <w:r w:rsidR="00970A3B" w:rsidRPr="002A53B6">
              <w:rPr>
                <w:rFonts w:cs="Arial"/>
                <w:lang w:val="en-AU"/>
              </w:rPr>
              <w:t xml:space="preserve"> include</w:t>
            </w:r>
            <w:r w:rsidR="00AB30C3">
              <w:rPr>
                <w:rFonts w:cs="Arial"/>
                <w:lang w:val="en-AU"/>
              </w:rPr>
              <w:t>s</w:t>
            </w:r>
            <w:r w:rsidR="00970A3B" w:rsidRPr="002A53B6">
              <w:rPr>
                <w:rFonts w:cs="Arial"/>
                <w:lang w:val="en-AU"/>
              </w:rPr>
              <w:t xml:space="preserve"> mapping of parking controls on streets, including yellow line areas, categories of parking restrictions, loading zones, pick-up/drop-off areas, m</w:t>
            </w:r>
            <w:r w:rsidR="008D1A35">
              <w:rPr>
                <w:rFonts w:cs="Arial"/>
                <w:lang w:val="en-AU"/>
              </w:rPr>
              <w:t>e</w:t>
            </w:r>
            <w:r w:rsidR="00970A3B" w:rsidRPr="002A53B6">
              <w:rPr>
                <w:rFonts w:cs="Arial"/>
                <w:lang w:val="en-AU"/>
              </w:rPr>
              <w:t>t</w:t>
            </w:r>
            <w:r w:rsidR="008D1A35">
              <w:rPr>
                <w:rFonts w:cs="Arial"/>
                <w:lang w:val="en-AU"/>
              </w:rPr>
              <w:t>e</w:t>
            </w:r>
            <w:r w:rsidR="00970A3B" w:rsidRPr="002A53B6">
              <w:rPr>
                <w:rFonts w:cs="Arial"/>
                <w:lang w:val="en-AU"/>
              </w:rPr>
              <w:t>red/unmet</w:t>
            </w:r>
            <w:r w:rsidR="008D1A35">
              <w:rPr>
                <w:rFonts w:cs="Arial"/>
                <w:lang w:val="en-AU"/>
              </w:rPr>
              <w:t>e</w:t>
            </w:r>
            <w:r w:rsidR="00970A3B" w:rsidRPr="002A53B6">
              <w:rPr>
                <w:rFonts w:cs="Arial"/>
                <w:lang w:val="en-AU"/>
              </w:rPr>
              <w:t>red parking areas, hours of operation and time limitations, bus zones and so forth. This mapping would be useful in planning personal transport movements.</w:t>
            </w:r>
          </w:p>
        </w:tc>
        <w:tc>
          <w:tcPr>
            <w:tcW w:w="5559" w:type="dxa"/>
            <w:shd w:val="clear" w:color="auto" w:fill="auto"/>
          </w:tcPr>
          <w:p w14:paraId="1B9F4758" w14:textId="1C379735" w:rsidR="007A3167" w:rsidRDefault="00970A3B" w:rsidP="002D0222">
            <w:pPr>
              <w:tabs>
                <w:tab w:val="left" w:pos="915"/>
              </w:tabs>
              <w:spacing w:after="0"/>
              <w:rPr>
                <w:rFonts w:cs="Arial"/>
              </w:rPr>
            </w:pPr>
            <w:r w:rsidRPr="002A53B6">
              <w:rPr>
                <w:rFonts w:cs="Arial"/>
              </w:rPr>
              <w:t xml:space="preserve">The </w:t>
            </w:r>
            <w:r>
              <w:rPr>
                <w:rFonts w:cs="Arial"/>
              </w:rPr>
              <w:t>S</w:t>
            </w:r>
            <w:r w:rsidRPr="002A53B6">
              <w:rPr>
                <w:rFonts w:cs="Arial"/>
              </w:rPr>
              <w:t xml:space="preserve">treetscape hierarchy overlay is a planning instrument to ensure </w:t>
            </w:r>
            <w:r w:rsidR="00AB30C3">
              <w:rPr>
                <w:rFonts w:cs="Arial"/>
              </w:rPr>
              <w:t xml:space="preserve">that </w:t>
            </w:r>
            <w:r w:rsidRPr="002A53B6">
              <w:rPr>
                <w:rFonts w:cs="Arial"/>
              </w:rPr>
              <w:t>verges are designed and constructed in accordance with Council's intended outcomes</w:t>
            </w:r>
            <w:r w:rsidR="00C406AD">
              <w:rPr>
                <w:rFonts w:cs="Arial"/>
              </w:rPr>
              <w:t xml:space="preserve"> for a particular street type</w:t>
            </w:r>
            <w:r w:rsidRPr="002A53B6">
              <w:rPr>
                <w:rFonts w:cs="Arial"/>
              </w:rPr>
              <w:t xml:space="preserve">. </w:t>
            </w:r>
            <w:r w:rsidR="00C406AD">
              <w:rPr>
                <w:rFonts w:cs="Arial"/>
              </w:rPr>
              <w:t xml:space="preserve">The overlay </w:t>
            </w:r>
            <w:r w:rsidRPr="002A53B6">
              <w:rPr>
                <w:rFonts w:cs="Arial"/>
              </w:rPr>
              <w:t>does not contain information about how the space is operated or managed</w:t>
            </w:r>
            <w:r w:rsidR="00C406AD">
              <w:rPr>
                <w:rFonts w:cs="Arial"/>
              </w:rPr>
              <w:t xml:space="preserve">, </w:t>
            </w:r>
            <w:proofErr w:type="gramStart"/>
            <w:r w:rsidR="00AB30C3">
              <w:rPr>
                <w:rFonts w:cs="Arial"/>
              </w:rPr>
              <w:t>e.g.</w:t>
            </w:r>
            <w:proofErr w:type="gramEnd"/>
            <w:r w:rsidR="00C406AD">
              <w:rPr>
                <w:rFonts w:cs="Arial"/>
              </w:rPr>
              <w:t xml:space="preserve"> identification of regulated parking or on</w:t>
            </w:r>
            <w:r w:rsidR="00AB30C3">
              <w:rPr>
                <w:rFonts w:cs="Arial"/>
              </w:rPr>
              <w:t>-</w:t>
            </w:r>
            <w:r w:rsidR="00C406AD">
              <w:rPr>
                <w:rFonts w:cs="Arial"/>
              </w:rPr>
              <w:t xml:space="preserve">road restrictions. It </w:t>
            </w:r>
            <w:r w:rsidRPr="002A53B6">
              <w:rPr>
                <w:rFonts w:cs="Arial"/>
              </w:rPr>
              <w:t xml:space="preserve">is not intended for planning personal transport movements. </w:t>
            </w:r>
          </w:p>
          <w:p w14:paraId="0C5AB576" w14:textId="77777777" w:rsidR="007A3167" w:rsidRDefault="007A3167" w:rsidP="002D0222">
            <w:pPr>
              <w:tabs>
                <w:tab w:val="left" w:pos="915"/>
              </w:tabs>
              <w:spacing w:after="0"/>
              <w:rPr>
                <w:rFonts w:cs="Arial"/>
              </w:rPr>
            </w:pPr>
          </w:p>
          <w:p w14:paraId="0AC28B96" w14:textId="77576096" w:rsidR="000433F3" w:rsidRPr="000433F3" w:rsidRDefault="00970A3B" w:rsidP="002D0222">
            <w:pPr>
              <w:tabs>
                <w:tab w:val="left" w:pos="915"/>
              </w:tabs>
              <w:spacing w:after="0"/>
              <w:rPr>
                <w:rFonts w:cs="Arial"/>
              </w:rPr>
            </w:pPr>
            <w:r w:rsidRPr="002A53B6">
              <w:rPr>
                <w:rFonts w:cs="Arial"/>
              </w:rPr>
              <w:t xml:space="preserve">Council makes some of the information identified available to the public through its open data portal at data.brisbane.qld.gov.au. The data in the portal is not processed to be readily accessible without additional software, </w:t>
            </w:r>
            <w:r w:rsidR="00AB30C3">
              <w:rPr>
                <w:rFonts w:cs="Arial"/>
              </w:rPr>
              <w:t>however</w:t>
            </w:r>
            <w:r w:rsidRPr="002A53B6">
              <w:rPr>
                <w:rFonts w:cs="Arial"/>
              </w:rPr>
              <w:t xml:space="preserve"> members of the public can use it to produce maps containing the data</w:t>
            </w:r>
            <w:r w:rsidR="007A3167">
              <w:rPr>
                <w:rFonts w:cs="Arial"/>
              </w:rPr>
              <w:t xml:space="preserve"> mentioned in the submission</w:t>
            </w:r>
            <w:r w:rsidRPr="002A53B6">
              <w:rPr>
                <w:rFonts w:cs="Arial"/>
              </w:rPr>
              <w:t>.</w:t>
            </w:r>
          </w:p>
        </w:tc>
        <w:tc>
          <w:tcPr>
            <w:tcW w:w="1559" w:type="dxa"/>
            <w:shd w:val="clear" w:color="auto" w:fill="auto"/>
          </w:tcPr>
          <w:p w14:paraId="6471B44F" w14:textId="07E40242" w:rsidR="00970A3B" w:rsidRPr="002A53B6" w:rsidRDefault="00970A3B" w:rsidP="00447B35">
            <w:pPr>
              <w:pStyle w:val="SubmissionTable"/>
              <w:spacing w:before="0" w:after="0"/>
              <w:rPr>
                <w:rFonts w:cs="Arial"/>
                <w:sz w:val="20"/>
                <w:lang w:val="en-AU"/>
              </w:rPr>
            </w:pPr>
            <w:r w:rsidRPr="002A53B6">
              <w:rPr>
                <w:rFonts w:cs="Arial"/>
                <w:sz w:val="20"/>
                <w:lang w:val="en-AU"/>
              </w:rPr>
              <w:t>No change</w:t>
            </w:r>
          </w:p>
        </w:tc>
      </w:tr>
      <w:tr w:rsidR="00970A3B" w:rsidRPr="002A53B6" w14:paraId="41C0B5CE" w14:textId="77777777" w:rsidTr="007E4047">
        <w:trPr>
          <w:trHeight w:val="488"/>
        </w:trPr>
        <w:tc>
          <w:tcPr>
            <w:tcW w:w="1672" w:type="dxa"/>
            <w:shd w:val="clear" w:color="auto" w:fill="auto"/>
            <w:noWrap/>
          </w:tcPr>
          <w:p w14:paraId="1FDD23AC" w14:textId="190B7508" w:rsidR="00970A3B" w:rsidRPr="002A53B6" w:rsidRDefault="00970A3B" w:rsidP="002D0222">
            <w:pPr>
              <w:pStyle w:val="SubmissionTable"/>
              <w:spacing w:before="0" w:after="0"/>
              <w:rPr>
                <w:rFonts w:cs="Arial"/>
                <w:sz w:val="20"/>
                <w:lang w:val="en-AU"/>
              </w:rPr>
            </w:pPr>
            <w:r w:rsidRPr="002A53B6">
              <w:rPr>
                <w:rFonts w:cs="Arial"/>
                <w:sz w:val="20"/>
                <w:lang w:val="en-AU"/>
              </w:rPr>
              <w:t>MK-002</w:t>
            </w:r>
          </w:p>
        </w:tc>
        <w:tc>
          <w:tcPr>
            <w:tcW w:w="5669" w:type="dxa"/>
            <w:shd w:val="clear" w:color="auto" w:fill="auto"/>
          </w:tcPr>
          <w:p w14:paraId="01AE3649" w14:textId="71F68D57" w:rsidR="00970A3B" w:rsidRDefault="0039027D" w:rsidP="002D0222">
            <w:pPr>
              <w:spacing w:after="0"/>
              <w:rPr>
                <w:shd w:val="clear" w:color="auto" w:fill="FFFFFF"/>
              </w:rPr>
            </w:pPr>
            <w:r>
              <w:rPr>
                <w:rFonts w:cs="Arial"/>
                <w:lang w:val="en-AU"/>
              </w:rPr>
              <w:t>The s</w:t>
            </w:r>
            <w:r w:rsidR="00970A3B" w:rsidRPr="002A53B6">
              <w:rPr>
                <w:rFonts w:cs="Arial"/>
                <w:lang w:val="en-AU"/>
              </w:rPr>
              <w:t>ubmitter requests the significant landscape tree at 8A</w:t>
            </w:r>
            <w:r w:rsidR="00AB30C3">
              <w:rPr>
                <w:rFonts w:cs="Arial"/>
                <w:lang w:val="en-AU"/>
              </w:rPr>
              <w:t> </w:t>
            </w:r>
            <w:r w:rsidR="00970A3B" w:rsidRPr="002A53B6">
              <w:rPr>
                <w:rFonts w:cs="Arial"/>
                <w:lang w:val="en-AU"/>
              </w:rPr>
              <w:t>Croydon R</w:t>
            </w:r>
            <w:r w:rsidR="00AB30C3">
              <w:rPr>
                <w:rFonts w:cs="Arial"/>
                <w:lang w:val="en-AU"/>
              </w:rPr>
              <w:t>oa</w:t>
            </w:r>
            <w:r w:rsidR="00970A3B" w:rsidRPr="002A53B6">
              <w:rPr>
                <w:rFonts w:cs="Arial"/>
                <w:lang w:val="en-AU"/>
              </w:rPr>
              <w:t>d, Paddington</w:t>
            </w:r>
            <w:r w:rsidR="00AB30C3">
              <w:rPr>
                <w:rFonts w:cs="Arial"/>
                <w:lang w:val="en-AU"/>
              </w:rPr>
              <w:t>,</w:t>
            </w:r>
            <w:r w:rsidR="00970A3B" w:rsidRPr="002A53B6">
              <w:rPr>
                <w:rFonts w:cs="Arial"/>
                <w:lang w:val="en-AU"/>
              </w:rPr>
              <w:t xml:space="preserve"> be removed from the Significant landscape tree overlay as the tree died and had to be removed approximately </w:t>
            </w:r>
            <w:r w:rsidR="00AB30C3">
              <w:rPr>
                <w:rFonts w:cs="Arial"/>
                <w:lang w:val="en-AU"/>
              </w:rPr>
              <w:t>two</w:t>
            </w:r>
            <w:r w:rsidR="00970A3B" w:rsidRPr="002A53B6">
              <w:rPr>
                <w:rFonts w:cs="Arial"/>
                <w:lang w:val="en-AU"/>
              </w:rPr>
              <w:t xml:space="preserve"> years ago with Council approval.</w:t>
            </w:r>
          </w:p>
        </w:tc>
        <w:tc>
          <w:tcPr>
            <w:tcW w:w="5559" w:type="dxa"/>
            <w:shd w:val="clear" w:color="auto" w:fill="auto"/>
          </w:tcPr>
          <w:p w14:paraId="0E560116" w14:textId="1A9933C0" w:rsidR="007A3167" w:rsidRDefault="00970A3B" w:rsidP="002D0222">
            <w:pPr>
              <w:tabs>
                <w:tab w:val="left" w:pos="915"/>
              </w:tabs>
              <w:spacing w:after="0"/>
              <w:rPr>
                <w:rFonts w:cs="Arial"/>
                <w:lang w:val="en-AU"/>
              </w:rPr>
            </w:pPr>
            <w:r w:rsidRPr="002A53B6">
              <w:rPr>
                <w:rFonts w:cs="Arial"/>
                <w:lang w:val="en-AU"/>
              </w:rPr>
              <w:t>Council's conditions of approval for the removal of the original Significant landscape tree required compensatory replacement planting. The replacement planting was requested so that over time, the values of the original S</w:t>
            </w:r>
            <w:r w:rsidR="008D1A35">
              <w:rPr>
                <w:rFonts w:cs="Arial"/>
                <w:lang w:val="en-AU"/>
              </w:rPr>
              <w:t>ignificant landscape tree</w:t>
            </w:r>
            <w:r w:rsidRPr="002A53B6">
              <w:rPr>
                <w:rFonts w:cs="Arial"/>
                <w:lang w:val="en-AU"/>
              </w:rPr>
              <w:t xml:space="preserve"> will be replaced. </w:t>
            </w:r>
          </w:p>
          <w:p w14:paraId="5053EA86" w14:textId="77777777" w:rsidR="007A3167" w:rsidRDefault="007A3167" w:rsidP="002D0222">
            <w:pPr>
              <w:tabs>
                <w:tab w:val="left" w:pos="915"/>
              </w:tabs>
              <w:spacing w:after="0"/>
              <w:rPr>
                <w:rFonts w:cs="Arial"/>
                <w:lang w:val="en-AU"/>
              </w:rPr>
            </w:pPr>
          </w:p>
          <w:p w14:paraId="136535DC" w14:textId="0A6066B8" w:rsidR="000433F3" w:rsidRPr="002A53B6" w:rsidRDefault="00A474D8" w:rsidP="002D0222">
            <w:pPr>
              <w:tabs>
                <w:tab w:val="left" w:pos="915"/>
              </w:tabs>
              <w:spacing w:after="0"/>
              <w:rPr>
                <w:rFonts w:cs="Arial"/>
                <w:lang w:val="en-AU"/>
              </w:rPr>
            </w:pPr>
            <w:r>
              <w:rPr>
                <w:rFonts w:cs="Arial"/>
                <w:lang w:val="en-AU"/>
              </w:rPr>
              <w:t xml:space="preserve">It is noted </w:t>
            </w:r>
            <w:r w:rsidR="00AB30C3">
              <w:rPr>
                <w:rFonts w:cs="Arial"/>
                <w:lang w:val="en-AU"/>
              </w:rPr>
              <w:t xml:space="preserve">that </w:t>
            </w:r>
            <w:r>
              <w:rPr>
                <w:rFonts w:cs="Arial"/>
                <w:lang w:val="en-AU"/>
              </w:rPr>
              <w:t>no changes were proposed to the Significant landscape tree overlay at this location as part of this proposed amendment</w:t>
            </w:r>
            <w:r w:rsidR="00AB30C3">
              <w:rPr>
                <w:rFonts w:cs="Arial"/>
                <w:lang w:val="en-AU"/>
              </w:rPr>
              <w:t>.</w:t>
            </w:r>
            <w:r>
              <w:rPr>
                <w:rFonts w:cs="Arial"/>
                <w:lang w:val="en-AU"/>
              </w:rPr>
              <w:t xml:space="preserve"> </w:t>
            </w:r>
            <w:r w:rsidR="00970A3B" w:rsidRPr="002A53B6">
              <w:rPr>
                <w:rFonts w:cs="Arial"/>
                <w:lang w:val="en-AU"/>
              </w:rPr>
              <w:t xml:space="preserve">The Significant landscape tree overlay code description will be updated </w:t>
            </w:r>
            <w:r w:rsidR="00970A3B">
              <w:rPr>
                <w:rFonts w:cs="Arial"/>
                <w:lang w:val="en-AU"/>
              </w:rPr>
              <w:t xml:space="preserve">in a future amendment </w:t>
            </w:r>
            <w:r w:rsidR="00970A3B" w:rsidRPr="002A53B6">
              <w:rPr>
                <w:rFonts w:cs="Arial"/>
                <w:lang w:val="en-AU"/>
              </w:rPr>
              <w:t>to acknowledge the tree</w:t>
            </w:r>
            <w:r w:rsidR="00AB30C3">
              <w:rPr>
                <w:rFonts w:cs="Arial"/>
                <w:lang w:val="en-AU"/>
              </w:rPr>
              <w:t>’</w:t>
            </w:r>
            <w:r w:rsidR="00970A3B" w:rsidRPr="002A53B6">
              <w:rPr>
                <w:rFonts w:cs="Arial"/>
                <w:lang w:val="en-AU"/>
              </w:rPr>
              <w:t>s status as a replacement planting of a hoop pine (</w:t>
            </w:r>
            <w:r w:rsidR="00970A3B" w:rsidRPr="007E4047">
              <w:rPr>
                <w:rFonts w:cs="Arial"/>
                <w:i/>
                <w:iCs/>
                <w:lang w:val="en-AU"/>
              </w:rPr>
              <w:t xml:space="preserve">Araucaria </w:t>
            </w:r>
            <w:proofErr w:type="spellStart"/>
            <w:r w:rsidR="00970A3B" w:rsidRPr="007E4047">
              <w:rPr>
                <w:rFonts w:cs="Arial"/>
                <w:i/>
                <w:iCs/>
                <w:lang w:val="en-AU"/>
              </w:rPr>
              <w:t>cunninghamii</w:t>
            </w:r>
            <w:proofErr w:type="spellEnd"/>
            <w:r w:rsidR="00970A3B" w:rsidRPr="002A53B6">
              <w:rPr>
                <w:rFonts w:cs="Arial"/>
                <w:lang w:val="en-AU"/>
              </w:rPr>
              <w:t>).</w:t>
            </w:r>
          </w:p>
        </w:tc>
        <w:tc>
          <w:tcPr>
            <w:tcW w:w="1559" w:type="dxa"/>
            <w:shd w:val="clear" w:color="auto" w:fill="auto"/>
          </w:tcPr>
          <w:p w14:paraId="2CCFFA43" w14:textId="58487156" w:rsidR="00970A3B" w:rsidRPr="002A53B6" w:rsidRDefault="00970A3B" w:rsidP="00447B35">
            <w:pPr>
              <w:pStyle w:val="SubmissionTable"/>
              <w:spacing w:before="0" w:after="0"/>
              <w:rPr>
                <w:rFonts w:cs="Arial"/>
                <w:sz w:val="20"/>
                <w:lang w:val="en-AU"/>
              </w:rPr>
            </w:pPr>
            <w:r w:rsidRPr="002A53B6">
              <w:rPr>
                <w:rFonts w:cs="Arial"/>
                <w:sz w:val="20"/>
                <w:lang w:val="en-AU"/>
              </w:rPr>
              <w:t>No change</w:t>
            </w:r>
          </w:p>
        </w:tc>
      </w:tr>
      <w:tr w:rsidR="005F2C57" w:rsidRPr="002A53B6" w14:paraId="134A270F" w14:textId="77777777" w:rsidTr="007E4047">
        <w:trPr>
          <w:trHeight w:val="488"/>
        </w:trPr>
        <w:tc>
          <w:tcPr>
            <w:tcW w:w="1672" w:type="dxa"/>
            <w:shd w:val="clear" w:color="auto" w:fill="auto"/>
            <w:noWrap/>
          </w:tcPr>
          <w:p w14:paraId="74D0A416" w14:textId="6D62E519" w:rsidR="00C05E33" w:rsidRPr="002A53B6" w:rsidRDefault="00862FAB" w:rsidP="002D0222">
            <w:pPr>
              <w:pStyle w:val="SubmissionTable"/>
              <w:spacing w:before="0" w:after="0"/>
              <w:rPr>
                <w:rFonts w:cs="Arial"/>
                <w:sz w:val="20"/>
                <w:lang w:val="en-AU"/>
              </w:rPr>
            </w:pPr>
            <w:r w:rsidRPr="002A53B6">
              <w:rPr>
                <w:rFonts w:cs="Arial"/>
                <w:sz w:val="20"/>
                <w:lang w:val="en-AU"/>
              </w:rPr>
              <w:t>MK-003</w:t>
            </w:r>
          </w:p>
        </w:tc>
        <w:tc>
          <w:tcPr>
            <w:tcW w:w="5669" w:type="dxa"/>
            <w:shd w:val="clear" w:color="auto" w:fill="auto"/>
          </w:tcPr>
          <w:p w14:paraId="420F3D5B" w14:textId="00CDBC4A" w:rsidR="00251E72" w:rsidRPr="001F5ED6" w:rsidRDefault="0039027D" w:rsidP="002D0222">
            <w:pPr>
              <w:spacing w:after="0"/>
              <w:rPr>
                <w:shd w:val="clear" w:color="auto" w:fill="FFFFFF"/>
              </w:rPr>
            </w:pPr>
            <w:r>
              <w:rPr>
                <w:shd w:val="clear" w:color="auto" w:fill="FFFFFF"/>
              </w:rPr>
              <w:t>The s</w:t>
            </w:r>
            <w:r w:rsidR="00251E72" w:rsidRPr="001F5ED6">
              <w:rPr>
                <w:shd w:val="clear" w:color="auto" w:fill="FFFFFF"/>
              </w:rPr>
              <w:t xml:space="preserve">ubmitter opposes the removal of the Commercial </w:t>
            </w:r>
            <w:proofErr w:type="gramStart"/>
            <w:r w:rsidR="00251E72" w:rsidRPr="001F5ED6">
              <w:rPr>
                <w:shd w:val="clear" w:color="auto" w:fill="FFFFFF"/>
              </w:rPr>
              <w:t>character building</w:t>
            </w:r>
            <w:proofErr w:type="gramEnd"/>
            <w:r w:rsidR="00251E72" w:rsidRPr="001F5ED6">
              <w:rPr>
                <w:shd w:val="clear" w:color="auto" w:fill="FFFFFF"/>
              </w:rPr>
              <w:t xml:space="preserve"> overlay from 137 Sylvan Road, </w:t>
            </w:r>
            <w:proofErr w:type="spellStart"/>
            <w:r w:rsidR="00251E72" w:rsidRPr="001F5ED6">
              <w:rPr>
                <w:shd w:val="clear" w:color="auto" w:fill="FFFFFF"/>
              </w:rPr>
              <w:t>Toowong</w:t>
            </w:r>
            <w:proofErr w:type="spellEnd"/>
            <w:r w:rsidR="00AB30C3">
              <w:rPr>
                <w:shd w:val="clear" w:color="auto" w:fill="FFFFFF"/>
              </w:rPr>
              <w:t>,</w:t>
            </w:r>
            <w:r w:rsidR="00251E72" w:rsidRPr="001F5ED6">
              <w:rPr>
                <w:shd w:val="clear" w:color="auto" w:fill="FFFFFF"/>
              </w:rPr>
              <w:t xml:space="preserve"> for the following reasons</w:t>
            </w:r>
            <w:r w:rsidR="007E4047">
              <w:rPr>
                <w:shd w:val="clear" w:color="auto" w:fill="FFFFFF"/>
              </w:rPr>
              <w:t>.</w:t>
            </w:r>
          </w:p>
          <w:p w14:paraId="5DB1976F" w14:textId="6436CEC5" w:rsidR="00251E72" w:rsidRPr="00C24939" w:rsidRDefault="00251E72" w:rsidP="002D0222">
            <w:pPr>
              <w:pStyle w:val="ListParagraph"/>
              <w:numPr>
                <w:ilvl w:val="0"/>
                <w:numId w:val="22"/>
              </w:numPr>
              <w:spacing w:after="0"/>
              <w:rPr>
                <w:shd w:val="clear" w:color="auto" w:fill="FFFFFF"/>
              </w:rPr>
            </w:pPr>
            <w:r w:rsidRPr="00C24939">
              <w:rPr>
                <w:shd w:val="clear" w:color="auto" w:fill="FFFFFF"/>
              </w:rPr>
              <w:t xml:space="preserve">The property is not suitable for residential use and there is an existing development approval for </w:t>
            </w:r>
            <w:r w:rsidR="007A2494" w:rsidRPr="00C24939">
              <w:rPr>
                <w:shd w:val="clear" w:color="auto" w:fill="FFFFFF"/>
              </w:rPr>
              <w:t>commercial</w:t>
            </w:r>
            <w:r w:rsidRPr="00C24939">
              <w:rPr>
                <w:shd w:val="clear" w:color="auto" w:fill="FFFFFF"/>
              </w:rPr>
              <w:t xml:space="preserve"> use</w:t>
            </w:r>
            <w:r w:rsidR="00BA4910">
              <w:rPr>
                <w:shd w:val="clear" w:color="auto" w:fill="FFFFFF"/>
              </w:rPr>
              <w:t xml:space="preserve"> (Food and drink outlet (café))</w:t>
            </w:r>
            <w:r w:rsidRPr="00C24939">
              <w:rPr>
                <w:shd w:val="clear" w:color="auto" w:fill="FFFFFF"/>
              </w:rPr>
              <w:t xml:space="preserve">. </w:t>
            </w:r>
          </w:p>
          <w:p w14:paraId="0333DDCD" w14:textId="40E7826D" w:rsidR="005F2C57" w:rsidRPr="00D74CE9" w:rsidRDefault="00251E72" w:rsidP="00D74CE9">
            <w:pPr>
              <w:pStyle w:val="ListParagraph"/>
              <w:numPr>
                <w:ilvl w:val="0"/>
                <w:numId w:val="22"/>
              </w:numPr>
              <w:spacing w:after="0"/>
              <w:rPr>
                <w:rFonts w:cs="Arial"/>
                <w:lang w:val="en-AU"/>
              </w:rPr>
            </w:pPr>
            <w:r w:rsidRPr="00C24939">
              <w:rPr>
                <w:shd w:val="clear" w:color="auto" w:fill="FFFFFF"/>
              </w:rPr>
              <w:lastRenderedPageBreak/>
              <w:t xml:space="preserve">The property is </w:t>
            </w:r>
            <w:proofErr w:type="gramStart"/>
            <w:r w:rsidRPr="00C24939">
              <w:rPr>
                <w:shd w:val="clear" w:color="auto" w:fill="FFFFFF"/>
              </w:rPr>
              <w:t>in close proximity to</w:t>
            </w:r>
            <w:proofErr w:type="gramEnd"/>
            <w:r w:rsidRPr="00C24939">
              <w:rPr>
                <w:shd w:val="clear" w:color="auto" w:fill="FFFFFF"/>
              </w:rPr>
              <w:t xml:space="preserve"> existing Low impact industry zones</w:t>
            </w:r>
            <w:r w:rsidR="00BA4910">
              <w:rPr>
                <w:shd w:val="clear" w:color="auto" w:fill="FFFFFF"/>
              </w:rPr>
              <w:t>, is in the Transport noise corridor overlay and in the Flood overlay (Overland flow sub-category)</w:t>
            </w:r>
            <w:r w:rsidRPr="00C24939">
              <w:rPr>
                <w:shd w:val="clear" w:color="auto" w:fill="FFFFFF"/>
              </w:rPr>
              <w:t>.</w:t>
            </w:r>
          </w:p>
        </w:tc>
        <w:tc>
          <w:tcPr>
            <w:tcW w:w="5559" w:type="dxa"/>
            <w:shd w:val="clear" w:color="auto" w:fill="auto"/>
          </w:tcPr>
          <w:p w14:paraId="4F0637A4" w14:textId="4212D48B" w:rsidR="00BA4910" w:rsidRDefault="00251E72" w:rsidP="002D0222">
            <w:pPr>
              <w:tabs>
                <w:tab w:val="left" w:pos="915"/>
              </w:tabs>
              <w:spacing w:after="0"/>
              <w:rPr>
                <w:rFonts w:cs="Arial"/>
                <w:lang w:val="en-AU"/>
              </w:rPr>
            </w:pPr>
            <w:r w:rsidRPr="002A53B6">
              <w:rPr>
                <w:rFonts w:cs="Arial"/>
                <w:lang w:val="en-AU"/>
              </w:rPr>
              <w:lastRenderedPageBreak/>
              <w:t xml:space="preserve">The building </w:t>
            </w:r>
            <w:r w:rsidR="00BA4910">
              <w:rPr>
                <w:rFonts w:cs="Arial"/>
                <w:lang w:val="en-AU"/>
              </w:rPr>
              <w:t>at</w:t>
            </w:r>
            <w:r w:rsidRPr="002A53B6">
              <w:rPr>
                <w:rFonts w:cs="Arial"/>
                <w:lang w:val="en-AU"/>
              </w:rPr>
              <w:t xml:space="preserve"> 137 Sylvan Road</w:t>
            </w:r>
            <w:r w:rsidR="00250390">
              <w:rPr>
                <w:rFonts w:cs="Arial"/>
                <w:lang w:val="en-AU"/>
              </w:rPr>
              <w:t>,</w:t>
            </w:r>
            <w:r w:rsidRPr="002A53B6">
              <w:rPr>
                <w:rFonts w:cs="Arial"/>
                <w:lang w:val="en-AU"/>
              </w:rPr>
              <w:t xml:space="preserve"> Toowong</w:t>
            </w:r>
            <w:r w:rsidR="00AB30C3">
              <w:rPr>
                <w:rFonts w:cs="Arial"/>
                <w:lang w:val="en-AU"/>
              </w:rPr>
              <w:t>,</w:t>
            </w:r>
            <w:r w:rsidRPr="002A53B6">
              <w:rPr>
                <w:rFonts w:cs="Arial"/>
                <w:lang w:val="en-AU"/>
              </w:rPr>
              <w:t xml:space="preserve"> is a pre-1947 building originally constructed as a dwelling and is not a Commercial character building.</w:t>
            </w:r>
          </w:p>
          <w:p w14:paraId="329334B5" w14:textId="77777777" w:rsidR="00BA4910" w:rsidRDefault="00BA4910" w:rsidP="002D0222">
            <w:pPr>
              <w:tabs>
                <w:tab w:val="left" w:pos="915"/>
              </w:tabs>
              <w:spacing w:after="0"/>
              <w:rPr>
                <w:rFonts w:cs="Arial"/>
                <w:lang w:val="en-AU"/>
              </w:rPr>
            </w:pPr>
          </w:p>
          <w:p w14:paraId="557EE11F" w14:textId="41D0B2F6" w:rsidR="00251E72" w:rsidRDefault="00251E72" w:rsidP="002D0222">
            <w:pPr>
              <w:tabs>
                <w:tab w:val="left" w:pos="915"/>
              </w:tabs>
              <w:spacing w:after="0"/>
              <w:rPr>
                <w:rFonts w:cs="Arial"/>
                <w:lang w:val="en-AU"/>
              </w:rPr>
            </w:pPr>
            <w:r w:rsidRPr="002A53B6">
              <w:rPr>
                <w:rFonts w:cs="Arial"/>
                <w:lang w:val="en-AU"/>
              </w:rPr>
              <w:t>It does not fulfil the characteristics of a Commercial character building</w:t>
            </w:r>
            <w:r w:rsidR="00250390">
              <w:rPr>
                <w:rFonts w:cs="Arial"/>
                <w:lang w:val="en-AU"/>
              </w:rPr>
              <w:t>,</w:t>
            </w:r>
            <w:r w:rsidRPr="002A53B6">
              <w:rPr>
                <w:rFonts w:cs="Arial"/>
                <w:lang w:val="en-AU"/>
              </w:rPr>
              <w:t xml:space="preserve"> </w:t>
            </w:r>
            <w:r w:rsidR="00BA4910">
              <w:rPr>
                <w:rFonts w:cs="Arial"/>
                <w:lang w:val="en-AU"/>
              </w:rPr>
              <w:t>including</w:t>
            </w:r>
            <w:r w:rsidR="00BA4910" w:rsidRPr="002A53B6">
              <w:rPr>
                <w:rFonts w:cs="Arial"/>
                <w:lang w:val="en-AU"/>
              </w:rPr>
              <w:t xml:space="preserve"> </w:t>
            </w:r>
            <w:r w:rsidR="00BA4910">
              <w:rPr>
                <w:rFonts w:cs="Arial"/>
                <w:lang w:val="en-AU"/>
              </w:rPr>
              <w:t xml:space="preserve">not </w:t>
            </w:r>
            <w:r w:rsidR="008615B5">
              <w:rPr>
                <w:rFonts w:cs="Arial"/>
                <w:lang w:val="en-AU"/>
              </w:rPr>
              <w:t xml:space="preserve">originally </w:t>
            </w:r>
            <w:r w:rsidR="00BA4910">
              <w:rPr>
                <w:rFonts w:cs="Arial"/>
                <w:lang w:val="en-AU"/>
              </w:rPr>
              <w:t>being</w:t>
            </w:r>
            <w:r w:rsidRPr="002A53B6">
              <w:rPr>
                <w:rFonts w:cs="Arial"/>
                <w:lang w:val="en-AU"/>
              </w:rPr>
              <w:t xml:space="preserve"> designed for small</w:t>
            </w:r>
            <w:r w:rsidR="00250390">
              <w:rPr>
                <w:rFonts w:cs="Arial"/>
                <w:lang w:val="en-AU"/>
              </w:rPr>
              <w:t>-</w:t>
            </w:r>
            <w:r w:rsidRPr="002A53B6">
              <w:rPr>
                <w:rFonts w:cs="Arial"/>
                <w:lang w:val="en-AU"/>
              </w:rPr>
              <w:t>scale commercial activities</w:t>
            </w:r>
            <w:r w:rsidR="00BA4910">
              <w:rPr>
                <w:rFonts w:cs="Arial"/>
                <w:lang w:val="en-AU"/>
              </w:rPr>
              <w:t xml:space="preserve"> or</w:t>
            </w:r>
            <w:r w:rsidR="00693B35">
              <w:rPr>
                <w:rFonts w:cs="Arial"/>
                <w:lang w:val="en-AU"/>
              </w:rPr>
              <w:t xml:space="preserve"> </w:t>
            </w:r>
            <w:r w:rsidRPr="002A53B6">
              <w:rPr>
                <w:rFonts w:cs="Arial"/>
                <w:lang w:val="en-AU"/>
              </w:rPr>
              <w:t>for use as a local corner store</w:t>
            </w:r>
            <w:r w:rsidR="00BA4910">
              <w:rPr>
                <w:rFonts w:cs="Arial"/>
                <w:lang w:val="en-AU"/>
              </w:rPr>
              <w:t>,</w:t>
            </w:r>
            <w:r w:rsidRPr="002A53B6">
              <w:rPr>
                <w:rFonts w:cs="Arial"/>
                <w:lang w:val="en-AU"/>
              </w:rPr>
              <w:t xml:space="preserve"> </w:t>
            </w:r>
            <w:r w:rsidR="00BA4910">
              <w:rPr>
                <w:rFonts w:cs="Arial"/>
                <w:lang w:val="en-AU"/>
              </w:rPr>
              <w:t xml:space="preserve">it </w:t>
            </w:r>
            <w:r w:rsidRPr="002A53B6">
              <w:rPr>
                <w:rFonts w:cs="Arial"/>
                <w:lang w:val="en-AU"/>
              </w:rPr>
              <w:t>is not built to the front boundary alignment</w:t>
            </w:r>
            <w:r w:rsidR="006A2D23">
              <w:rPr>
                <w:rFonts w:cs="Arial"/>
                <w:lang w:val="en-AU"/>
              </w:rPr>
              <w:t>,</w:t>
            </w:r>
            <w:r w:rsidRPr="002A53B6">
              <w:rPr>
                <w:rFonts w:cs="Arial"/>
                <w:lang w:val="en-AU"/>
              </w:rPr>
              <w:t xml:space="preserve"> </w:t>
            </w:r>
            <w:r w:rsidRPr="002A53B6">
              <w:rPr>
                <w:rFonts w:cs="Arial"/>
                <w:lang w:val="en-AU"/>
              </w:rPr>
              <w:lastRenderedPageBreak/>
              <w:t xml:space="preserve">and does not incorporate an awning over the footpath supported by timber or </w:t>
            </w:r>
            <w:r w:rsidR="007E4047" w:rsidRPr="002A53B6">
              <w:rPr>
                <w:rFonts w:cs="Arial"/>
                <w:lang w:val="en-AU"/>
              </w:rPr>
              <w:t>cast-iron</w:t>
            </w:r>
            <w:r w:rsidRPr="002A53B6">
              <w:rPr>
                <w:rFonts w:cs="Arial"/>
                <w:lang w:val="en-AU"/>
              </w:rPr>
              <w:t xml:space="preserve"> posts.</w:t>
            </w:r>
          </w:p>
          <w:p w14:paraId="3C699A48" w14:textId="77777777" w:rsidR="00BA4910" w:rsidRPr="002A53B6" w:rsidRDefault="00BA4910" w:rsidP="002D0222">
            <w:pPr>
              <w:tabs>
                <w:tab w:val="left" w:pos="915"/>
              </w:tabs>
              <w:spacing w:after="0"/>
              <w:rPr>
                <w:rFonts w:cs="Arial"/>
                <w:lang w:val="en-AU"/>
              </w:rPr>
            </w:pPr>
          </w:p>
          <w:p w14:paraId="77D0B40C" w14:textId="37BE20FF" w:rsidR="00A748BF" w:rsidRPr="002A53B6" w:rsidRDefault="00251E72" w:rsidP="002D0222">
            <w:pPr>
              <w:tabs>
                <w:tab w:val="left" w:pos="915"/>
              </w:tabs>
              <w:spacing w:after="0"/>
              <w:rPr>
                <w:rFonts w:cs="Arial"/>
                <w:lang w:val="en-AU"/>
              </w:rPr>
            </w:pPr>
            <w:r w:rsidRPr="002A53B6">
              <w:rPr>
                <w:rFonts w:cs="Arial"/>
                <w:lang w:val="en-AU"/>
              </w:rPr>
              <w:t xml:space="preserve">Removal of the building from the Commercial </w:t>
            </w:r>
            <w:proofErr w:type="gramStart"/>
            <w:r w:rsidRPr="002A53B6">
              <w:rPr>
                <w:rFonts w:cs="Arial"/>
                <w:lang w:val="en-AU"/>
              </w:rPr>
              <w:t>character building</w:t>
            </w:r>
            <w:proofErr w:type="gramEnd"/>
            <w:r w:rsidRPr="002A53B6">
              <w:rPr>
                <w:rFonts w:cs="Arial"/>
                <w:lang w:val="en-AU"/>
              </w:rPr>
              <w:t xml:space="preserve"> overlay has no impact on any existing lawful and current approvals</w:t>
            </w:r>
            <w:r w:rsidR="000433F3">
              <w:rPr>
                <w:rFonts w:cs="Arial"/>
                <w:lang w:val="en-AU"/>
              </w:rPr>
              <w:t>.</w:t>
            </w:r>
          </w:p>
        </w:tc>
        <w:tc>
          <w:tcPr>
            <w:tcW w:w="1559" w:type="dxa"/>
            <w:shd w:val="clear" w:color="auto" w:fill="auto"/>
          </w:tcPr>
          <w:p w14:paraId="1C982182" w14:textId="5D449D5C" w:rsidR="005F2C57" w:rsidRPr="002A53B6" w:rsidRDefault="00251E72" w:rsidP="00447B35">
            <w:pPr>
              <w:pStyle w:val="SubmissionTable"/>
              <w:spacing w:before="0" w:after="0"/>
              <w:rPr>
                <w:rFonts w:cs="Arial"/>
                <w:sz w:val="20"/>
                <w:lang w:val="en-AU"/>
              </w:rPr>
            </w:pPr>
            <w:r w:rsidRPr="002A53B6">
              <w:rPr>
                <w:rFonts w:cs="Arial"/>
                <w:sz w:val="20"/>
                <w:lang w:val="en-AU"/>
              </w:rPr>
              <w:lastRenderedPageBreak/>
              <w:t>No change</w:t>
            </w:r>
          </w:p>
        </w:tc>
      </w:tr>
      <w:tr w:rsidR="00970A3B" w:rsidRPr="002A53B6" w14:paraId="4E83CDC7" w14:textId="77777777" w:rsidTr="007E4047">
        <w:trPr>
          <w:trHeight w:val="488"/>
        </w:trPr>
        <w:tc>
          <w:tcPr>
            <w:tcW w:w="1672" w:type="dxa"/>
            <w:shd w:val="clear" w:color="auto" w:fill="auto"/>
            <w:noWrap/>
          </w:tcPr>
          <w:p w14:paraId="23DDBD78" w14:textId="317A23DC" w:rsidR="00970A3B" w:rsidRPr="002A53B6" w:rsidRDefault="00970A3B" w:rsidP="002D0222">
            <w:pPr>
              <w:pStyle w:val="SubmissionTable"/>
              <w:spacing w:before="0" w:after="0"/>
              <w:rPr>
                <w:rFonts w:cs="Arial"/>
                <w:sz w:val="20"/>
                <w:lang w:val="en-AU"/>
              </w:rPr>
            </w:pPr>
            <w:r w:rsidRPr="002A53B6">
              <w:rPr>
                <w:rFonts w:cs="Arial"/>
                <w:sz w:val="20"/>
                <w:lang w:val="en-AU"/>
              </w:rPr>
              <w:t>MK-005</w:t>
            </w:r>
          </w:p>
        </w:tc>
        <w:tc>
          <w:tcPr>
            <w:tcW w:w="5669" w:type="dxa"/>
            <w:shd w:val="clear" w:color="auto" w:fill="auto"/>
          </w:tcPr>
          <w:p w14:paraId="0CBA7944" w14:textId="56C272D3" w:rsidR="000433F3" w:rsidRDefault="0039027D" w:rsidP="002D0222">
            <w:pPr>
              <w:spacing w:after="0"/>
              <w:rPr>
                <w:rFonts w:cs="Arial"/>
                <w:lang w:val="en-AU"/>
              </w:rPr>
            </w:pPr>
            <w:r>
              <w:rPr>
                <w:rFonts w:cs="Arial"/>
                <w:lang w:val="en-AU"/>
              </w:rPr>
              <w:t>The s</w:t>
            </w:r>
            <w:r w:rsidR="00970A3B" w:rsidRPr="002A53B6">
              <w:rPr>
                <w:rFonts w:cs="Arial"/>
                <w:lang w:val="en-AU"/>
              </w:rPr>
              <w:t>ubmitter opposes the identification of Honour Avenue, Graceville</w:t>
            </w:r>
            <w:r w:rsidR="00AB30C3">
              <w:rPr>
                <w:rFonts w:cs="Arial"/>
                <w:lang w:val="en-AU"/>
              </w:rPr>
              <w:t>,</w:t>
            </w:r>
            <w:r w:rsidR="00970A3B" w:rsidRPr="002A53B6">
              <w:rPr>
                <w:rFonts w:cs="Arial"/>
                <w:lang w:val="en-AU"/>
              </w:rPr>
              <w:t xml:space="preserve"> between Verney Road West and Mortlake Road</w:t>
            </w:r>
            <w:r w:rsidR="00AB30C3">
              <w:rPr>
                <w:rFonts w:cs="Arial"/>
                <w:lang w:val="en-AU"/>
              </w:rPr>
              <w:t>,</w:t>
            </w:r>
            <w:r w:rsidR="00970A3B" w:rsidRPr="002A53B6">
              <w:rPr>
                <w:rFonts w:cs="Arial"/>
                <w:lang w:val="en-AU"/>
              </w:rPr>
              <w:t xml:space="preserve"> as a </w:t>
            </w:r>
            <w:proofErr w:type="gramStart"/>
            <w:r w:rsidR="00970A3B" w:rsidRPr="002A53B6">
              <w:rPr>
                <w:rFonts w:cs="Arial"/>
                <w:lang w:val="en-AU"/>
              </w:rPr>
              <w:t>Locality street</w:t>
            </w:r>
            <w:proofErr w:type="gramEnd"/>
            <w:r w:rsidR="00970A3B" w:rsidRPr="002A53B6">
              <w:rPr>
                <w:rFonts w:cs="Arial"/>
                <w:lang w:val="en-AU"/>
              </w:rPr>
              <w:t xml:space="preserve"> sub-category in the Streetscape hierarchy overlay. This area </w:t>
            </w:r>
            <w:r w:rsidR="00970A3B">
              <w:rPr>
                <w:rFonts w:cs="Arial"/>
                <w:lang w:val="en-AU"/>
              </w:rPr>
              <w:t>is</w:t>
            </w:r>
            <w:r w:rsidR="00970A3B" w:rsidRPr="002A53B6">
              <w:rPr>
                <w:rFonts w:cs="Arial"/>
                <w:lang w:val="en-AU"/>
              </w:rPr>
              <w:t xml:space="preserve"> singl</w:t>
            </w:r>
            <w:r w:rsidR="00970A3B">
              <w:rPr>
                <w:rFonts w:cs="Arial"/>
                <w:lang w:val="en-AU"/>
              </w:rPr>
              <w:t>e</w:t>
            </w:r>
            <w:r w:rsidR="00970A3B" w:rsidRPr="002A53B6">
              <w:rPr>
                <w:rFonts w:cs="Arial"/>
                <w:lang w:val="en-AU"/>
              </w:rPr>
              <w:t xml:space="preserve"> storey (commercial) and character housing. Honour Avenue is a very busy road, with parking now extending up local roads. These local roads leading to Laurel Avenue are used by local children to scoot, </w:t>
            </w:r>
            <w:proofErr w:type="gramStart"/>
            <w:r w:rsidR="00970A3B" w:rsidRPr="002A53B6">
              <w:rPr>
                <w:rFonts w:cs="Arial"/>
                <w:lang w:val="en-AU"/>
              </w:rPr>
              <w:t>ride</w:t>
            </w:r>
            <w:proofErr w:type="gramEnd"/>
            <w:r w:rsidR="00970A3B" w:rsidRPr="002A53B6">
              <w:rPr>
                <w:rFonts w:cs="Arial"/>
                <w:lang w:val="en-AU"/>
              </w:rPr>
              <w:t xml:space="preserve"> and walk. The increase in traffic has meant </w:t>
            </w:r>
            <w:r w:rsidR="00AB30C3">
              <w:rPr>
                <w:rFonts w:cs="Arial"/>
                <w:lang w:val="en-AU"/>
              </w:rPr>
              <w:t xml:space="preserve">that </w:t>
            </w:r>
            <w:r w:rsidR="00970A3B" w:rsidRPr="002A53B6">
              <w:rPr>
                <w:rFonts w:cs="Arial"/>
                <w:lang w:val="en-AU"/>
              </w:rPr>
              <w:t xml:space="preserve">it is unsafe for children to walk to their local school/train </w:t>
            </w:r>
            <w:proofErr w:type="gramStart"/>
            <w:r w:rsidR="00970A3B" w:rsidRPr="002A53B6">
              <w:rPr>
                <w:rFonts w:cs="Arial"/>
                <w:lang w:val="en-AU"/>
              </w:rPr>
              <w:t>station</w:t>
            </w:r>
            <w:proofErr w:type="gramEnd"/>
            <w:r w:rsidR="00970A3B" w:rsidRPr="002A53B6">
              <w:rPr>
                <w:rFonts w:cs="Arial"/>
                <w:lang w:val="en-AU"/>
              </w:rPr>
              <w:t xml:space="preserve"> and </w:t>
            </w:r>
            <w:r w:rsidR="00AB30C3">
              <w:rPr>
                <w:rFonts w:cs="Arial"/>
                <w:lang w:val="en-AU"/>
              </w:rPr>
              <w:t xml:space="preserve">they </w:t>
            </w:r>
            <w:r w:rsidR="00970A3B" w:rsidRPr="002A53B6">
              <w:rPr>
                <w:rFonts w:cs="Arial"/>
                <w:lang w:val="en-AU"/>
              </w:rPr>
              <w:t>need to be driven. Any development that leads to an increase in traffic along a relatively narrow road that is heavily used by active transport users should not go ahead.</w:t>
            </w:r>
          </w:p>
        </w:tc>
        <w:tc>
          <w:tcPr>
            <w:tcW w:w="5559" w:type="dxa"/>
            <w:shd w:val="clear" w:color="auto" w:fill="auto"/>
          </w:tcPr>
          <w:p w14:paraId="7394810E" w14:textId="35649D42" w:rsidR="007A3167" w:rsidRDefault="00970A3B" w:rsidP="002D0222">
            <w:pPr>
              <w:tabs>
                <w:tab w:val="left" w:pos="915"/>
              </w:tabs>
              <w:spacing w:after="0"/>
              <w:rPr>
                <w:rFonts w:cs="Arial"/>
                <w:lang w:val="en-AU"/>
              </w:rPr>
            </w:pPr>
            <w:r w:rsidRPr="002A53B6">
              <w:rPr>
                <w:rFonts w:cs="Arial"/>
                <w:lang w:val="en-AU"/>
              </w:rPr>
              <w:t xml:space="preserve">The </w:t>
            </w:r>
            <w:r>
              <w:rPr>
                <w:rFonts w:cs="Arial"/>
                <w:lang w:val="en-AU"/>
              </w:rPr>
              <w:t>S</w:t>
            </w:r>
            <w:r w:rsidRPr="002A53B6">
              <w:rPr>
                <w:rFonts w:cs="Arial"/>
                <w:lang w:val="en-AU"/>
              </w:rPr>
              <w:t xml:space="preserve">treetscape hierarchy overlay is a planning instrument to ensure </w:t>
            </w:r>
            <w:r w:rsidR="00AB30C3">
              <w:rPr>
                <w:rFonts w:cs="Arial"/>
                <w:lang w:val="en-AU"/>
              </w:rPr>
              <w:t xml:space="preserve">that </w:t>
            </w:r>
            <w:r w:rsidRPr="002A53B6">
              <w:rPr>
                <w:rFonts w:cs="Arial"/>
                <w:lang w:val="en-AU"/>
              </w:rPr>
              <w:t xml:space="preserve">verges </w:t>
            </w:r>
            <w:r w:rsidR="00A474D8">
              <w:rPr>
                <w:rFonts w:cs="Arial"/>
                <w:lang w:val="en-AU"/>
              </w:rPr>
              <w:t xml:space="preserve">and verge treatments </w:t>
            </w:r>
            <w:r w:rsidRPr="002A53B6">
              <w:rPr>
                <w:rFonts w:cs="Arial"/>
                <w:lang w:val="en-AU"/>
              </w:rPr>
              <w:t>are designed and constructed in accordance with Council's intended outcomes</w:t>
            </w:r>
            <w:r w:rsidR="00F55A41">
              <w:rPr>
                <w:rFonts w:cs="Arial"/>
                <w:lang w:val="en-AU"/>
              </w:rPr>
              <w:t xml:space="preserve"> for a location, taking into consideration the </w:t>
            </w:r>
            <w:r w:rsidR="00A474D8">
              <w:rPr>
                <w:rFonts w:cs="Arial"/>
                <w:lang w:val="en-AU"/>
              </w:rPr>
              <w:t>adjoini</w:t>
            </w:r>
            <w:r w:rsidR="00F55A41">
              <w:rPr>
                <w:rFonts w:cs="Arial"/>
                <w:lang w:val="en-AU"/>
              </w:rPr>
              <w:t>ng land use</w:t>
            </w:r>
            <w:r w:rsidR="00A474D8">
              <w:rPr>
                <w:rFonts w:cs="Arial"/>
                <w:lang w:val="en-AU"/>
              </w:rPr>
              <w:t>s</w:t>
            </w:r>
            <w:r w:rsidRPr="002A53B6">
              <w:rPr>
                <w:rFonts w:cs="Arial"/>
                <w:lang w:val="en-AU"/>
              </w:rPr>
              <w:t xml:space="preserve">. </w:t>
            </w:r>
            <w:r w:rsidR="00F55A41">
              <w:rPr>
                <w:rFonts w:cs="Arial"/>
                <w:lang w:val="en-AU"/>
              </w:rPr>
              <w:t xml:space="preserve">Honour Avenue in this location is </w:t>
            </w:r>
            <w:r w:rsidR="00AB30C3">
              <w:rPr>
                <w:rFonts w:cs="Arial"/>
                <w:lang w:val="en-AU"/>
              </w:rPr>
              <w:t xml:space="preserve">in </w:t>
            </w:r>
            <w:r w:rsidR="00F55A41">
              <w:rPr>
                <w:rFonts w:cs="Arial"/>
                <w:lang w:val="en-AU"/>
              </w:rPr>
              <w:t xml:space="preserve">a </w:t>
            </w:r>
            <w:r w:rsidR="00A474D8">
              <w:rPr>
                <w:rFonts w:cs="Arial"/>
                <w:lang w:val="en-AU"/>
              </w:rPr>
              <w:t xml:space="preserve">District </w:t>
            </w:r>
            <w:r w:rsidR="00F55A41">
              <w:rPr>
                <w:rFonts w:cs="Arial"/>
                <w:lang w:val="en-AU"/>
              </w:rPr>
              <w:t>centre</w:t>
            </w:r>
            <w:r w:rsidR="00A474D8">
              <w:rPr>
                <w:rFonts w:cs="Arial"/>
                <w:lang w:val="en-AU"/>
              </w:rPr>
              <w:t xml:space="preserve"> and the </w:t>
            </w:r>
            <w:proofErr w:type="gramStart"/>
            <w:r w:rsidR="00A474D8">
              <w:rPr>
                <w:rFonts w:cs="Arial"/>
                <w:lang w:val="en-AU"/>
              </w:rPr>
              <w:t>Locality street</w:t>
            </w:r>
            <w:proofErr w:type="gramEnd"/>
            <w:r w:rsidR="00A474D8">
              <w:rPr>
                <w:rFonts w:cs="Arial"/>
                <w:lang w:val="en-AU"/>
              </w:rPr>
              <w:t xml:space="preserve"> sub-category in the overlay reflects this.</w:t>
            </w:r>
          </w:p>
          <w:p w14:paraId="50177B82" w14:textId="77777777" w:rsidR="007A3167" w:rsidRDefault="007A3167" w:rsidP="002D0222">
            <w:pPr>
              <w:tabs>
                <w:tab w:val="left" w:pos="915"/>
              </w:tabs>
              <w:spacing w:after="0"/>
              <w:rPr>
                <w:rFonts w:cs="Arial"/>
                <w:lang w:val="en-AU"/>
              </w:rPr>
            </w:pPr>
          </w:p>
          <w:p w14:paraId="68CAE2EB" w14:textId="6FF1AE16" w:rsidR="00970A3B" w:rsidRDefault="00970A3B" w:rsidP="002D0222">
            <w:pPr>
              <w:tabs>
                <w:tab w:val="left" w:pos="915"/>
              </w:tabs>
              <w:spacing w:after="0"/>
              <w:rPr>
                <w:rFonts w:cs="Arial"/>
                <w:lang w:val="en-AU"/>
              </w:rPr>
            </w:pPr>
            <w:r w:rsidRPr="002A53B6">
              <w:rPr>
                <w:rFonts w:cs="Arial"/>
                <w:lang w:val="en-AU"/>
              </w:rPr>
              <w:t>The overlay does not affect the type or scale of development allowed on a site and does not influence the volume of traffic on a road or the number of vehicles parked on the road.</w:t>
            </w:r>
            <w:r w:rsidR="00322F64">
              <w:rPr>
                <w:rFonts w:cs="Arial"/>
                <w:lang w:val="en-AU"/>
              </w:rPr>
              <w:t xml:space="preserve"> The Road hierarchy overlay in City Plan identifies key road types and their classification.</w:t>
            </w:r>
          </w:p>
        </w:tc>
        <w:tc>
          <w:tcPr>
            <w:tcW w:w="1559" w:type="dxa"/>
            <w:shd w:val="clear" w:color="auto" w:fill="auto"/>
          </w:tcPr>
          <w:p w14:paraId="4A703A92" w14:textId="50E5EAA0" w:rsidR="00970A3B" w:rsidRPr="002A53B6" w:rsidRDefault="00970A3B" w:rsidP="00447B35">
            <w:pPr>
              <w:pStyle w:val="SubmissionTable"/>
              <w:spacing w:before="0" w:after="0"/>
              <w:rPr>
                <w:rFonts w:cs="Arial"/>
                <w:sz w:val="20"/>
                <w:lang w:val="en-AU"/>
              </w:rPr>
            </w:pPr>
            <w:r w:rsidRPr="002A53B6">
              <w:rPr>
                <w:rFonts w:cs="Arial"/>
                <w:sz w:val="20"/>
                <w:lang w:val="en-AU"/>
              </w:rPr>
              <w:t>No change</w:t>
            </w:r>
          </w:p>
        </w:tc>
      </w:tr>
      <w:tr w:rsidR="0061536C" w:rsidRPr="002A53B6" w14:paraId="266623DE" w14:textId="77777777" w:rsidTr="007E4047">
        <w:trPr>
          <w:trHeight w:val="488"/>
        </w:trPr>
        <w:tc>
          <w:tcPr>
            <w:tcW w:w="1672" w:type="dxa"/>
            <w:shd w:val="clear" w:color="auto" w:fill="auto"/>
            <w:noWrap/>
          </w:tcPr>
          <w:p w14:paraId="70FD2D19" w14:textId="377AB964" w:rsidR="0061536C" w:rsidRPr="002A53B6" w:rsidRDefault="0061536C" w:rsidP="002D0222">
            <w:pPr>
              <w:pStyle w:val="SubmissionTable"/>
              <w:spacing w:before="0" w:after="0"/>
              <w:rPr>
                <w:rFonts w:cs="Arial"/>
                <w:sz w:val="20"/>
                <w:lang w:val="en-AU"/>
              </w:rPr>
            </w:pPr>
            <w:r w:rsidRPr="002A53B6">
              <w:rPr>
                <w:rFonts w:cs="Arial"/>
                <w:sz w:val="20"/>
                <w:lang w:val="en-AU"/>
              </w:rPr>
              <w:t>MK-007</w:t>
            </w:r>
          </w:p>
        </w:tc>
        <w:tc>
          <w:tcPr>
            <w:tcW w:w="5669" w:type="dxa"/>
            <w:shd w:val="clear" w:color="auto" w:fill="auto"/>
          </w:tcPr>
          <w:p w14:paraId="3BB80913" w14:textId="56593AF2" w:rsidR="000433F3" w:rsidRPr="000433F3" w:rsidRDefault="0039027D" w:rsidP="002D0222">
            <w:pPr>
              <w:spacing w:after="0"/>
              <w:rPr>
                <w:rFonts w:cs="Arial"/>
                <w:lang w:val="en-AU"/>
              </w:rPr>
            </w:pPr>
            <w:r>
              <w:rPr>
                <w:rFonts w:cs="Arial"/>
                <w:lang w:val="en-AU"/>
              </w:rPr>
              <w:t>The s</w:t>
            </w:r>
            <w:r w:rsidR="0061536C" w:rsidRPr="002A53B6">
              <w:rPr>
                <w:rFonts w:cs="Arial"/>
                <w:lang w:val="en-AU"/>
              </w:rPr>
              <w:t>ubmitter requests</w:t>
            </w:r>
            <w:r w:rsidR="00AB30C3">
              <w:rPr>
                <w:rFonts w:cs="Arial"/>
                <w:lang w:val="en-AU"/>
              </w:rPr>
              <w:t xml:space="preserve"> that</w:t>
            </w:r>
            <w:r w:rsidR="0061536C" w:rsidRPr="002A53B6">
              <w:rPr>
                <w:rFonts w:cs="Arial"/>
                <w:lang w:val="en-AU"/>
              </w:rPr>
              <w:t xml:space="preserve"> the proposed amendment </w:t>
            </w:r>
            <w:r w:rsidR="0061536C">
              <w:rPr>
                <w:rFonts w:cs="Arial"/>
                <w:lang w:val="en-AU"/>
              </w:rPr>
              <w:t>remove</w:t>
            </w:r>
            <w:r w:rsidR="00AB30C3">
              <w:rPr>
                <w:rFonts w:cs="Arial"/>
                <w:lang w:val="en-AU"/>
              </w:rPr>
              <w:t>s</w:t>
            </w:r>
            <w:r w:rsidR="0061536C" w:rsidRPr="002A53B6">
              <w:rPr>
                <w:rFonts w:cs="Arial"/>
                <w:lang w:val="en-AU"/>
              </w:rPr>
              <w:t xml:space="preserve"> the </w:t>
            </w:r>
            <w:proofErr w:type="gramStart"/>
            <w:r w:rsidR="0061536C" w:rsidRPr="002A53B6">
              <w:rPr>
                <w:rFonts w:cs="Arial"/>
                <w:lang w:val="en-AU"/>
              </w:rPr>
              <w:t>Pre-1911</w:t>
            </w:r>
            <w:proofErr w:type="gramEnd"/>
            <w:r w:rsidR="0061536C" w:rsidRPr="002A53B6">
              <w:rPr>
                <w:rFonts w:cs="Arial"/>
                <w:lang w:val="en-AU"/>
              </w:rPr>
              <w:t xml:space="preserve"> building overlay </w:t>
            </w:r>
            <w:r w:rsidR="0061536C">
              <w:rPr>
                <w:rFonts w:cs="Arial"/>
                <w:lang w:val="en-AU"/>
              </w:rPr>
              <w:t>from</w:t>
            </w:r>
            <w:r w:rsidR="0061536C" w:rsidRPr="002A53B6">
              <w:rPr>
                <w:rFonts w:cs="Arial"/>
                <w:lang w:val="en-AU"/>
              </w:rPr>
              <w:t xml:space="preserve"> 31-33 Cleveland Street, Stones Corner. Two dwelling houses on the subject sites were demolished in 2013 under a Development Permit for Building Works (Decision Notice number 00017283), which was issued under the superseded </w:t>
            </w:r>
            <w:r w:rsidR="0061536C" w:rsidRPr="00AB30C3">
              <w:rPr>
                <w:rFonts w:cs="Arial"/>
                <w:i/>
                <w:iCs/>
                <w:lang w:val="en-AU"/>
              </w:rPr>
              <w:t>City Plan 2000</w:t>
            </w:r>
            <w:r w:rsidR="0061536C" w:rsidRPr="002A53B6">
              <w:rPr>
                <w:rFonts w:cs="Arial"/>
                <w:lang w:val="en-AU"/>
              </w:rPr>
              <w:t xml:space="preserve">. The Pre-1911 building overlay was incorrectly mapped on the property with the commencement of </w:t>
            </w:r>
            <w:r w:rsidR="0061536C" w:rsidRPr="007E4047">
              <w:rPr>
                <w:rFonts w:cs="Arial"/>
                <w:lang w:val="en-AU"/>
              </w:rPr>
              <w:t>City Plan</w:t>
            </w:r>
            <w:r w:rsidR="0061536C" w:rsidRPr="002A53B6">
              <w:rPr>
                <w:rFonts w:cs="Arial"/>
                <w:lang w:val="en-AU"/>
              </w:rPr>
              <w:t xml:space="preserve"> and should be removed to reflect the demolition.</w:t>
            </w:r>
          </w:p>
        </w:tc>
        <w:tc>
          <w:tcPr>
            <w:tcW w:w="5559" w:type="dxa"/>
            <w:shd w:val="clear" w:color="auto" w:fill="auto"/>
          </w:tcPr>
          <w:p w14:paraId="1E40F472" w14:textId="6358FD3E" w:rsidR="0061536C" w:rsidRPr="002A53B6" w:rsidRDefault="0061536C" w:rsidP="002D0222">
            <w:pPr>
              <w:tabs>
                <w:tab w:val="left" w:pos="915"/>
              </w:tabs>
              <w:spacing w:after="0"/>
              <w:rPr>
                <w:rFonts w:cs="Arial"/>
                <w:lang w:val="en-AU"/>
              </w:rPr>
            </w:pPr>
            <w:r>
              <w:rPr>
                <w:rFonts w:cs="Arial"/>
                <w:lang w:val="en-AU"/>
              </w:rPr>
              <w:t xml:space="preserve">The requested change was investigated and the </w:t>
            </w:r>
            <w:proofErr w:type="gramStart"/>
            <w:r>
              <w:rPr>
                <w:rFonts w:cs="Arial"/>
                <w:lang w:val="en-AU"/>
              </w:rPr>
              <w:t>Pre-1911</w:t>
            </w:r>
            <w:proofErr w:type="gramEnd"/>
            <w:r>
              <w:rPr>
                <w:rFonts w:cs="Arial"/>
                <w:lang w:val="en-AU"/>
              </w:rPr>
              <w:t xml:space="preserve"> building overlay was subsequently removed from the property as part of Minor amendment package K, which was adopted by Council on 22 March 2022 and adopted into City Plan on 27 May 2022</w:t>
            </w:r>
            <w:r w:rsidRPr="002A53B6">
              <w:rPr>
                <w:rFonts w:cs="Arial"/>
                <w:lang w:val="en-AU"/>
              </w:rPr>
              <w:t>.</w:t>
            </w:r>
          </w:p>
        </w:tc>
        <w:tc>
          <w:tcPr>
            <w:tcW w:w="1559" w:type="dxa"/>
            <w:shd w:val="clear" w:color="auto" w:fill="auto"/>
          </w:tcPr>
          <w:p w14:paraId="3CEE8B63" w14:textId="0F771220" w:rsidR="0061536C" w:rsidRPr="002A53B6" w:rsidRDefault="0061536C" w:rsidP="00447B35">
            <w:pPr>
              <w:pStyle w:val="SubmissionTable"/>
              <w:spacing w:before="0" w:after="0"/>
              <w:rPr>
                <w:rFonts w:cs="Arial"/>
                <w:sz w:val="20"/>
                <w:lang w:val="en-AU"/>
              </w:rPr>
            </w:pPr>
            <w:r w:rsidRPr="002A53B6">
              <w:rPr>
                <w:rFonts w:cs="Arial"/>
                <w:sz w:val="20"/>
                <w:lang w:val="en-AU"/>
              </w:rPr>
              <w:t>No change</w:t>
            </w:r>
          </w:p>
        </w:tc>
      </w:tr>
      <w:tr w:rsidR="0061536C" w:rsidRPr="002A53B6" w14:paraId="0AD1FA23" w14:textId="77777777" w:rsidTr="007E4047">
        <w:trPr>
          <w:trHeight w:val="488"/>
        </w:trPr>
        <w:tc>
          <w:tcPr>
            <w:tcW w:w="1672" w:type="dxa"/>
            <w:shd w:val="clear" w:color="auto" w:fill="auto"/>
            <w:noWrap/>
          </w:tcPr>
          <w:p w14:paraId="787C296F" w14:textId="3475B85A" w:rsidR="0061536C" w:rsidRPr="002A53B6" w:rsidRDefault="0061536C" w:rsidP="002D0222">
            <w:pPr>
              <w:pStyle w:val="SubmissionTable"/>
              <w:spacing w:before="0" w:after="0"/>
              <w:rPr>
                <w:rFonts w:cs="Arial"/>
                <w:sz w:val="20"/>
                <w:lang w:val="en-AU"/>
              </w:rPr>
            </w:pPr>
            <w:r w:rsidRPr="002A53B6">
              <w:rPr>
                <w:rFonts w:cs="Arial"/>
                <w:sz w:val="20"/>
                <w:lang w:val="en-AU"/>
              </w:rPr>
              <w:t>MK-008</w:t>
            </w:r>
          </w:p>
        </w:tc>
        <w:tc>
          <w:tcPr>
            <w:tcW w:w="5669" w:type="dxa"/>
            <w:shd w:val="clear" w:color="auto" w:fill="auto"/>
          </w:tcPr>
          <w:p w14:paraId="7E8A804F" w14:textId="6D35E112" w:rsidR="0061536C" w:rsidRPr="002A53B6" w:rsidRDefault="0039027D" w:rsidP="00AB30C3">
            <w:pPr>
              <w:pStyle w:val="SubmissionTable"/>
              <w:spacing w:before="0" w:after="0"/>
              <w:rPr>
                <w:rFonts w:cs="Arial"/>
                <w:sz w:val="20"/>
                <w:lang w:val="en-AU"/>
              </w:rPr>
            </w:pPr>
            <w:r>
              <w:rPr>
                <w:rFonts w:cs="Arial"/>
                <w:sz w:val="20"/>
                <w:lang w:val="en-AU"/>
              </w:rPr>
              <w:t>The s</w:t>
            </w:r>
            <w:r w:rsidR="0061536C" w:rsidRPr="002A53B6">
              <w:rPr>
                <w:rFonts w:cs="Arial"/>
                <w:sz w:val="20"/>
                <w:lang w:val="en-AU"/>
              </w:rPr>
              <w:t xml:space="preserve">ubmitter suggests </w:t>
            </w:r>
            <w:r w:rsidR="00AB30C3">
              <w:rPr>
                <w:rFonts w:cs="Arial"/>
                <w:sz w:val="20"/>
                <w:lang w:val="en-AU"/>
              </w:rPr>
              <w:t xml:space="preserve">that </w:t>
            </w:r>
            <w:r w:rsidR="0061536C" w:rsidRPr="002A53B6">
              <w:rPr>
                <w:rFonts w:cs="Arial"/>
                <w:sz w:val="20"/>
                <w:lang w:val="en-AU"/>
              </w:rPr>
              <w:t>there are errors in the proposed amendment, including:</w:t>
            </w:r>
          </w:p>
          <w:p w14:paraId="22695E2C" w14:textId="37F9333E" w:rsidR="0061536C" w:rsidRDefault="0061536C" w:rsidP="00AB30C3">
            <w:pPr>
              <w:pStyle w:val="SubmissionTable"/>
              <w:numPr>
                <w:ilvl w:val="0"/>
                <w:numId w:val="5"/>
              </w:numPr>
              <w:spacing w:before="0" w:after="0"/>
              <w:rPr>
                <w:rFonts w:cs="Arial"/>
                <w:sz w:val="20"/>
                <w:lang w:val="en-AU"/>
              </w:rPr>
            </w:pPr>
            <w:r w:rsidRPr="002A53B6">
              <w:rPr>
                <w:rFonts w:cs="Arial"/>
                <w:sz w:val="20"/>
                <w:lang w:val="en-AU"/>
              </w:rPr>
              <w:t>46 Maynard Street, Wool</w:t>
            </w:r>
            <w:r>
              <w:rPr>
                <w:rFonts w:cs="Arial"/>
                <w:sz w:val="20"/>
                <w:lang w:val="en-AU"/>
              </w:rPr>
              <w:t>l</w:t>
            </w:r>
            <w:r w:rsidRPr="002A53B6">
              <w:rPr>
                <w:rFonts w:cs="Arial"/>
                <w:sz w:val="20"/>
                <w:lang w:val="en-AU"/>
              </w:rPr>
              <w:t>oongabba</w:t>
            </w:r>
            <w:r w:rsidR="00AB30C3">
              <w:rPr>
                <w:rFonts w:cs="Arial"/>
                <w:sz w:val="20"/>
                <w:lang w:val="en-AU"/>
              </w:rPr>
              <w:t>,</w:t>
            </w:r>
            <w:r w:rsidRPr="002A53B6">
              <w:rPr>
                <w:rFonts w:cs="Arial"/>
                <w:sz w:val="20"/>
                <w:lang w:val="en-AU"/>
              </w:rPr>
              <w:t xml:space="preserve"> is a heritage-listed house built circa 1888 and does not appear on the Pre</w:t>
            </w:r>
            <w:r w:rsidR="007E4047">
              <w:rPr>
                <w:rFonts w:cs="Arial"/>
                <w:sz w:val="20"/>
                <w:lang w:val="en-AU"/>
              </w:rPr>
              <w:noBreakHyphen/>
            </w:r>
            <w:r w:rsidRPr="002A53B6">
              <w:rPr>
                <w:rFonts w:cs="Arial"/>
                <w:sz w:val="20"/>
                <w:lang w:val="en-AU"/>
              </w:rPr>
              <w:t>1911 building overlay map. Nor do most houses of that era in the suburb.</w:t>
            </w:r>
          </w:p>
          <w:p w14:paraId="4E4E6C8D" w14:textId="0CE6912A" w:rsidR="0061536C" w:rsidRPr="00AB30C3" w:rsidRDefault="0061536C" w:rsidP="00AB30C3">
            <w:pPr>
              <w:pStyle w:val="SubmissionTable"/>
              <w:numPr>
                <w:ilvl w:val="0"/>
                <w:numId w:val="5"/>
              </w:numPr>
              <w:spacing w:before="0" w:after="0"/>
              <w:rPr>
                <w:rFonts w:cs="Arial"/>
                <w:sz w:val="20"/>
                <w:lang w:val="en-AU"/>
              </w:rPr>
            </w:pPr>
            <w:r w:rsidRPr="00AB30C3">
              <w:rPr>
                <w:rFonts w:cs="Arial"/>
                <w:sz w:val="20"/>
                <w:lang w:val="en-AU"/>
              </w:rPr>
              <w:t>A park with mature trees opposite 46 Maynard Street, which is on Queensland Rail land, does not appear as a significant landscape feature on the Significant landscape trees overlay map.</w:t>
            </w:r>
          </w:p>
        </w:tc>
        <w:tc>
          <w:tcPr>
            <w:tcW w:w="5559" w:type="dxa"/>
            <w:shd w:val="clear" w:color="auto" w:fill="auto"/>
          </w:tcPr>
          <w:p w14:paraId="4AE7B36E" w14:textId="7A9D098C" w:rsidR="0061536C" w:rsidRDefault="0061536C" w:rsidP="0061536C">
            <w:pPr>
              <w:tabs>
                <w:tab w:val="left" w:pos="1185"/>
              </w:tabs>
              <w:spacing w:after="0"/>
              <w:rPr>
                <w:rFonts w:cs="Arial"/>
                <w:lang w:val="en-AU"/>
              </w:rPr>
            </w:pPr>
            <w:r w:rsidRPr="002A53B6">
              <w:rPr>
                <w:rFonts w:cs="Arial"/>
                <w:lang w:val="en-AU"/>
              </w:rPr>
              <w:t xml:space="preserve">The Pre-1911 building overlay protects individual residential buildings constructed before 1911 </w:t>
            </w:r>
            <w:r w:rsidR="0057439A">
              <w:rPr>
                <w:rFonts w:cs="Arial"/>
                <w:lang w:val="en-AU"/>
              </w:rPr>
              <w:t xml:space="preserve">that are </w:t>
            </w:r>
            <w:r w:rsidRPr="002A53B6">
              <w:rPr>
                <w:rFonts w:cs="Arial"/>
                <w:lang w:val="en-AU"/>
              </w:rPr>
              <w:t xml:space="preserve">not </w:t>
            </w:r>
            <w:r w:rsidR="0057439A">
              <w:rPr>
                <w:rFonts w:cs="Arial"/>
                <w:lang w:val="en-AU"/>
              </w:rPr>
              <w:t xml:space="preserve">included </w:t>
            </w:r>
            <w:r w:rsidR="00422A7F">
              <w:rPr>
                <w:rFonts w:cs="Arial"/>
                <w:lang w:val="en-AU"/>
              </w:rPr>
              <w:t xml:space="preserve">in </w:t>
            </w:r>
            <w:r w:rsidRPr="002A53B6">
              <w:rPr>
                <w:rFonts w:cs="Arial"/>
                <w:lang w:val="en-AU"/>
              </w:rPr>
              <w:t xml:space="preserve">the Traditional building character overlay. </w:t>
            </w:r>
          </w:p>
          <w:p w14:paraId="5F9A9327" w14:textId="77777777" w:rsidR="0061536C" w:rsidRDefault="0061536C" w:rsidP="0061536C">
            <w:pPr>
              <w:tabs>
                <w:tab w:val="left" w:pos="1185"/>
              </w:tabs>
              <w:spacing w:after="0"/>
              <w:rPr>
                <w:rFonts w:cs="Arial"/>
                <w:lang w:val="en-AU"/>
              </w:rPr>
            </w:pPr>
          </w:p>
          <w:p w14:paraId="3BDFF202" w14:textId="74675EFB" w:rsidR="0061536C" w:rsidRDefault="0061536C" w:rsidP="0061536C">
            <w:pPr>
              <w:tabs>
                <w:tab w:val="left" w:pos="1185"/>
              </w:tabs>
              <w:spacing w:after="0"/>
              <w:rPr>
                <w:rFonts w:cs="Arial"/>
                <w:lang w:val="en-AU"/>
              </w:rPr>
            </w:pPr>
            <w:r w:rsidRPr="002A53B6">
              <w:rPr>
                <w:rFonts w:cs="Arial"/>
                <w:lang w:val="en-AU"/>
              </w:rPr>
              <w:t>Where a building is even more significant</w:t>
            </w:r>
            <w:r w:rsidR="0057439A">
              <w:rPr>
                <w:rFonts w:cs="Arial"/>
                <w:lang w:val="en-AU"/>
              </w:rPr>
              <w:t xml:space="preserve"> </w:t>
            </w:r>
            <w:r w:rsidRPr="002A53B6">
              <w:rPr>
                <w:rFonts w:cs="Arial"/>
                <w:lang w:val="en-AU"/>
              </w:rPr>
              <w:t>and meets one or more of Council's cultural heritage criteria, it is included as a Local heritage place in the Heritage overlay.</w:t>
            </w:r>
            <w:r>
              <w:rPr>
                <w:rFonts w:cs="Arial"/>
                <w:lang w:val="en-AU"/>
              </w:rPr>
              <w:t xml:space="preserve"> 46 Maynard Street, Woolloongabba</w:t>
            </w:r>
            <w:r w:rsidR="00AB30C3">
              <w:rPr>
                <w:rFonts w:cs="Arial"/>
                <w:lang w:val="en-AU"/>
              </w:rPr>
              <w:t>,</w:t>
            </w:r>
            <w:r>
              <w:rPr>
                <w:rFonts w:cs="Arial"/>
                <w:lang w:val="en-AU"/>
              </w:rPr>
              <w:t xml:space="preserve"> is</w:t>
            </w:r>
            <w:r w:rsidR="0057439A">
              <w:rPr>
                <w:rFonts w:cs="Arial"/>
                <w:lang w:val="en-AU"/>
              </w:rPr>
              <w:t xml:space="preserve"> correctly </w:t>
            </w:r>
            <w:r>
              <w:rPr>
                <w:rFonts w:cs="Arial"/>
                <w:lang w:val="en-AU"/>
              </w:rPr>
              <w:t>included in the Heritage overlay</w:t>
            </w:r>
            <w:r w:rsidR="0057439A">
              <w:rPr>
                <w:rFonts w:cs="Arial"/>
                <w:lang w:val="en-AU"/>
              </w:rPr>
              <w:t xml:space="preserve"> and does not require to be mapped in the </w:t>
            </w:r>
            <w:proofErr w:type="gramStart"/>
            <w:r w:rsidR="0057439A">
              <w:rPr>
                <w:rFonts w:cs="Arial"/>
                <w:lang w:val="en-AU"/>
              </w:rPr>
              <w:t>Pre-1911</w:t>
            </w:r>
            <w:proofErr w:type="gramEnd"/>
            <w:r w:rsidR="0057439A">
              <w:rPr>
                <w:rFonts w:cs="Arial"/>
                <w:lang w:val="en-AU"/>
              </w:rPr>
              <w:t xml:space="preserve"> building overlay.</w:t>
            </w:r>
            <w:r w:rsidRPr="002A53B6">
              <w:rPr>
                <w:rFonts w:cs="Arial"/>
                <w:lang w:val="en-AU"/>
              </w:rPr>
              <w:t xml:space="preserve"> </w:t>
            </w:r>
          </w:p>
          <w:p w14:paraId="1953FF56" w14:textId="77777777" w:rsidR="0061536C" w:rsidRPr="002A53B6" w:rsidRDefault="0061536C" w:rsidP="0061536C">
            <w:pPr>
              <w:tabs>
                <w:tab w:val="left" w:pos="1185"/>
              </w:tabs>
              <w:spacing w:after="0"/>
              <w:rPr>
                <w:rFonts w:cs="Arial"/>
                <w:lang w:val="en-AU"/>
              </w:rPr>
            </w:pPr>
          </w:p>
          <w:p w14:paraId="31A74659" w14:textId="2BD11F83" w:rsidR="000433F3" w:rsidRPr="002A53B6" w:rsidRDefault="0061536C" w:rsidP="0061536C">
            <w:pPr>
              <w:tabs>
                <w:tab w:val="left" w:pos="915"/>
              </w:tabs>
              <w:spacing w:after="0"/>
              <w:rPr>
                <w:rFonts w:cs="Arial"/>
                <w:lang w:val="en-AU"/>
              </w:rPr>
            </w:pPr>
            <w:r w:rsidRPr="002A53B6">
              <w:rPr>
                <w:rFonts w:cs="Arial"/>
                <w:lang w:val="en-AU"/>
              </w:rPr>
              <w:lastRenderedPageBreak/>
              <w:t>Th</w:t>
            </w:r>
            <w:r w:rsidR="006272BF">
              <w:rPr>
                <w:rFonts w:cs="Arial"/>
                <w:lang w:val="en-AU"/>
              </w:rPr>
              <w:t>e</w:t>
            </w:r>
            <w:r w:rsidRPr="002A53B6">
              <w:rPr>
                <w:rFonts w:cs="Arial"/>
                <w:lang w:val="en-AU"/>
              </w:rPr>
              <w:t xml:space="preserve"> site opposite 46 Maynard Street Woolloongabba</w:t>
            </w:r>
            <w:r w:rsidR="006272BF">
              <w:rPr>
                <w:rFonts w:cs="Arial"/>
                <w:lang w:val="en-AU"/>
              </w:rPr>
              <w:t>,</w:t>
            </w:r>
            <w:r w:rsidRPr="002A53B6">
              <w:rPr>
                <w:rFonts w:cs="Arial"/>
                <w:lang w:val="en-AU"/>
              </w:rPr>
              <w:t xml:space="preserve"> will be investigated for possible inclusion on the Significant landscape tree overlay</w:t>
            </w:r>
            <w:r>
              <w:rPr>
                <w:rFonts w:cs="Arial"/>
                <w:lang w:val="en-AU"/>
              </w:rPr>
              <w:t xml:space="preserve"> as part of a potential future amendment</w:t>
            </w:r>
            <w:r w:rsidRPr="002A53B6">
              <w:rPr>
                <w:rFonts w:cs="Arial"/>
                <w:lang w:val="en-AU"/>
              </w:rPr>
              <w:t>.</w:t>
            </w:r>
          </w:p>
        </w:tc>
        <w:tc>
          <w:tcPr>
            <w:tcW w:w="1559" w:type="dxa"/>
            <w:shd w:val="clear" w:color="auto" w:fill="auto"/>
          </w:tcPr>
          <w:p w14:paraId="79429819" w14:textId="7BA91C7D" w:rsidR="0061536C" w:rsidRPr="002A53B6" w:rsidRDefault="0061536C" w:rsidP="00447B35">
            <w:pPr>
              <w:pStyle w:val="SubmissionTable"/>
              <w:spacing w:before="0" w:after="0"/>
              <w:rPr>
                <w:rFonts w:cs="Arial"/>
                <w:sz w:val="20"/>
                <w:lang w:val="en-AU"/>
              </w:rPr>
            </w:pPr>
            <w:r w:rsidRPr="002A53B6">
              <w:rPr>
                <w:rFonts w:cs="Arial"/>
                <w:sz w:val="20"/>
                <w:lang w:val="en-AU"/>
              </w:rPr>
              <w:lastRenderedPageBreak/>
              <w:t>No change</w:t>
            </w:r>
          </w:p>
        </w:tc>
      </w:tr>
      <w:tr w:rsidR="00D152D0" w:rsidRPr="002A53B6" w14:paraId="66EA125A" w14:textId="77777777" w:rsidTr="007E4047">
        <w:trPr>
          <w:trHeight w:val="58"/>
        </w:trPr>
        <w:tc>
          <w:tcPr>
            <w:tcW w:w="1672" w:type="dxa"/>
            <w:shd w:val="clear" w:color="auto" w:fill="auto"/>
            <w:noWrap/>
          </w:tcPr>
          <w:p w14:paraId="7AAEA9A4" w14:textId="72DF859B" w:rsidR="00D152D0" w:rsidRPr="002A53B6" w:rsidRDefault="00DA17C3" w:rsidP="002D0222">
            <w:pPr>
              <w:pStyle w:val="SubmissionTable"/>
              <w:spacing w:before="0" w:after="0"/>
              <w:rPr>
                <w:rFonts w:cs="Arial"/>
                <w:sz w:val="20"/>
                <w:lang w:val="en-AU"/>
              </w:rPr>
            </w:pPr>
            <w:r w:rsidRPr="002A53B6">
              <w:rPr>
                <w:rFonts w:cs="Arial"/>
                <w:sz w:val="20"/>
                <w:lang w:val="en-AU"/>
              </w:rPr>
              <w:t>MK-014</w:t>
            </w:r>
          </w:p>
        </w:tc>
        <w:tc>
          <w:tcPr>
            <w:tcW w:w="5669" w:type="dxa"/>
            <w:shd w:val="clear" w:color="auto" w:fill="auto"/>
          </w:tcPr>
          <w:p w14:paraId="19AEE766" w14:textId="3E77EF03" w:rsidR="00D152D0" w:rsidRPr="00C86CB3" w:rsidRDefault="0039027D" w:rsidP="002D0222">
            <w:pPr>
              <w:spacing w:after="0"/>
              <w:rPr>
                <w:shd w:val="clear" w:color="auto" w:fill="FFFFFF"/>
              </w:rPr>
            </w:pPr>
            <w:r>
              <w:rPr>
                <w:shd w:val="clear" w:color="auto" w:fill="FFFFFF"/>
              </w:rPr>
              <w:t>The s</w:t>
            </w:r>
            <w:r w:rsidR="00DA17C3" w:rsidRPr="001F5ED6">
              <w:rPr>
                <w:shd w:val="clear" w:color="auto" w:fill="FFFFFF"/>
              </w:rPr>
              <w:t xml:space="preserve">ubmitter requests </w:t>
            </w:r>
            <w:r w:rsidR="00AB30C3">
              <w:rPr>
                <w:shd w:val="clear" w:color="auto" w:fill="FFFFFF"/>
              </w:rPr>
              <w:t xml:space="preserve">that </w:t>
            </w:r>
            <w:r w:rsidR="00DA17C3" w:rsidRPr="001F5ED6">
              <w:rPr>
                <w:shd w:val="clear" w:color="auto" w:fill="FFFFFF"/>
              </w:rPr>
              <w:t xml:space="preserve">Council be responsible for the maintenance of the tree at 21 </w:t>
            </w:r>
            <w:proofErr w:type="spellStart"/>
            <w:r w:rsidR="00DA17C3" w:rsidRPr="001F5ED6">
              <w:rPr>
                <w:shd w:val="clear" w:color="auto" w:fill="FFFFFF"/>
              </w:rPr>
              <w:t>Cosker</w:t>
            </w:r>
            <w:proofErr w:type="spellEnd"/>
            <w:r w:rsidR="00DA17C3" w:rsidRPr="001F5ED6">
              <w:rPr>
                <w:shd w:val="clear" w:color="auto" w:fill="FFFFFF"/>
              </w:rPr>
              <w:t xml:space="preserve"> Street, Annerley</w:t>
            </w:r>
            <w:r w:rsidR="00AB30C3">
              <w:rPr>
                <w:shd w:val="clear" w:color="auto" w:fill="FFFFFF"/>
              </w:rPr>
              <w:t>,</w:t>
            </w:r>
            <w:r w:rsidR="00DA17C3" w:rsidRPr="001F5ED6">
              <w:rPr>
                <w:shd w:val="clear" w:color="auto" w:fill="FFFFFF"/>
              </w:rPr>
              <w:t xml:space="preserve"> that is proposed to be included in the Significant landscape tree overlay</w:t>
            </w:r>
            <w:r w:rsidR="00BA4910">
              <w:rPr>
                <w:shd w:val="clear" w:color="auto" w:fill="FFFFFF"/>
              </w:rPr>
              <w:t xml:space="preserve">, as there are significant maintenance issues with potential to damage surrounding properties and </w:t>
            </w:r>
            <w:r w:rsidR="00AB30C3">
              <w:rPr>
                <w:shd w:val="clear" w:color="auto" w:fill="FFFFFF"/>
              </w:rPr>
              <w:t xml:space="preserve">constitutes </w:t>
            </w:r>
            <w:r w:rsidR="00BA4910">
              <w:rPr>
                <w:shd w:val="clear" w:color="auto" w:fill="FFFFFF"/>
              </w:rPr>
              <w:t>a financial hindrance</w:t>
            </w:r>
            <w:r w:rsidR="00153DD8">
              <w:rPr>
                <w:shd w:val="clear" w:color="auto" w:fill="FFFFFF"/>
              </w:rPr>
              <w:t>.</w:t>
            </w:r>
          </w:p>
        </w:tc>
        <w:tc>
          <w:tcPr>
            <w:tcW w:w="5559" w:type="dxa"/>
            <w:shd w:val="clear" w:color="auto" w:fill="auto"/>
          </w:tcPr>
          <w:p w14:paraId="72449500" w14:textId="71552051" w:rsidR="00D91504" w:rsidRDefault="00BA4910" w:rsidP="00AB30C3">
            <w:pPr>
              <w:pStyle w:val="SubmissionTable"/>
              <w:spacing w:before="0" w:after="0"/>
              <w:rPr>
                <w:rFonts w:cs="Arial"/>
                <w:sz w:val="20"/>
                <w:lang w:val="en-AU"/>
              </w:rPr>
            </w:pPr>
            <w:r>
              <w:rPr>
                <w:rFonts w:cs="Arial"/>
                <w:sz w:val="20"/>
                <w:lang w:val="en-AU"/>
              </w:rPr>
              <w:t>M</w:t>
            </w:r>
            <w:r w:rsidR="00936A82" w:rsidRPr="002A53B6">
              <w:rPr>
                <w:rFonts w:cs="Arial"/>
                <w:sz w:val="20"/>
                <w:lang w:val="en-AU"/>
              </w:rPr>
              <w:t xml:space="preserve">anagement of the tree remains the responsibility of the </w:t>
            </w:r>
            <w:r w:rsidR="005F7442">
              <w:rPr>
                <w:rFonts w:cs="Arial"/>
                <w:sz w:val="20"/>
                <w:lang w:val="en-AU"/>
              </w:rPr>
              <w:t>property</w:t>
            </w:r>
            <w:r w:rsidR="00936A82" w:rsidRPr="002A53B6">
              <w:rPr>
                <w:rFonts w:cs="Arial"/>
                <w:sz w:val="20"/>
                <w:lang w:val="en-AU"/>
              </w:rPr>
              <w:t xml:space="preserve"> owner</w:t>
            </w:r>
            <w:r>
              <w:rPr>
                <w:rFonts w:cs="Arial"/>
                <w:sz w:val="20"/>
                <w:lang w:val="en-AU"/>
              </w:rPr>
              <w:t xml:space="preserve">, however </w:t>
            </w:r>
            <w:r w:rsidRPr="002A53B6">
              <w:rPr>
                <w:rFonts w:cs="Arial"/>
                <w:sz w:val="20"/>
                <w:lang w:val="en-AU"/>
              </w:rPr>
              <w:t xml:space="preserve">Council does not require the </w:t>
            </w:r>
            <w:r>
              <w:rPr>
                <w:rFonts w:cs="Arial"/>
                <w:sz w:val="20"/>
                <w:lang w:val="en-AU"/>
              </w:rPr>
              <w:t>property</w:t>
            </w:r>
            <w:r w:rsidRPr="002A53B6">
              <w:rPr>
                <w:rFonts w:cs="Arial"/>
                <w:sz w:val="20"/>
                <w:lang w:val="en-AU"/>
              </w:rPr>
              <w:t xml:space="preserve"> owner</w:t>
            </w:r>
            <w:r>
              <w:rPr>
                <w:rFonts w:cs="Arial"/>
                <w:sz w:val="20"/>
                <w:lang w:val="en-AU"/>
              </w:rPr>
              <w:t xml:space="preserve"> of the land on which the tree is located</w:t>
            </w:r>
            <w:r w:rsidRPr="002A53B6">
              <w:rPr>
                <w:rFonts w:cs="Arial"/>
                <w:sz w:val="20"/>
                <w:lang w:val="en-AU"/>
              </w:rPr>
              <w:t xml:space="preserve"> to undertake additional work to this protected vegetation.</w:t>
            </w:r>
          </w:p>
          <w:p w14:paraId="11152A99" w14:textId="77777777" w:rsidR="00BA4910" w:rsidRDefault="00BA4910" w:rsidP="00AB30C3">
            <w:pPr>
              <w:pStyle w:val="SubmissionTable"/>
              <w:spacing w:before="0" w:after="0"/>
              <w:rPr>
                <w:rFonts w:cs="Arial"/>
                <w:sz w:val="20"/>
                <w:lang w:val="en-AU"/>
              </w:rPr>
            </w:pPr>
          </w:p>
          <w:p w14:paraId="0FB28DFE" w14:textId="061ECF55" w:rsidR="00936A82" w:rsidRPr="002A53B6" w:rsidRDefault="00936A82" w:rsidP="00AB30C3">
            <w:pPr>
              <w:pStyle w:val="SubmissionTable"/>
              <w:spacing w:before="0" w:after="0"/>
              <w:rPr>
                <w:rFonts w:cs="Arial"/>
                <w:sz w:val="20"/>
                <w:lang w:val="en-AU"/>
              </w:rPr>
            </w:pPr>
            <w:r w:rsidRPr="002A53B6">
              <w:rPr>
                <w:rFonts w:cs="Arial"/>
                <w:sz w:val="20"/>
                <w:lang w:val="en-AU"/>
              </w:rPr>
              <w:t xml:space="preserve">If the tree is posing an immediate significant threat, the owner should contact Council for immediate advice. If the tree requires general maintenance, the tree owner should apply for a free, </w:t>
            </w:r>
            <w:proofErr w:type="gramStart"/>
            <w:r w:rsidR="007E4047" w:rsidRPr="002A53B6">
              <w:rPr>
                <w:rFonts w:cs="Arial"/>
                <w:sz w:val="20"/>
                <w:lang w:val="en-AU"/>
              </w:rPr>
              <w:t>short</w:t>
            </w:r>
            <w:proofErr w:type="gramEnd"/>
            <w:r w:rsidR="007E4047" w:rsidRPr="002A53B6">
              <w:rPr>
                <w:rFonts w:cs="Arial"/>
                <w:sz w:val="20"/>
                <w:lang w:val="en-AU"/>
              </w:rPr>
              <w:t xml:space="preserve"> or long-term</w:t>
            </w:r>
            <w:r w:rsidRPr="002A53B6">
              <w:rPr>
                <w:rFonts w:cs="Arial"/>
                <w:sz w:val="20"/>
                <w:lang w:val="en-AU"/>
              </w:rPr>
              <w:t xml:space="preserve"> permit to undertake works on protected vegetation. </w:t>
            </w:r>
          </w:p>
          <w:p w14:paraId="21415FB8" w14:textId="77777777" w:rsidR="00BA4910" w:rsidRDefault="00BA4910" w:rsidP="00AB30C3">
            <w:pPr>
              <w:pStyle w:val="SubmissionTable"/>
              <w:spacing w:before="0" w:after="0"/>
              <w:rPr>
                <w:rFonts w:cs="Arial"/>
                <w:sz w:val="20"/>
                <w:lang w:val="en-AU"/>
              </w:rPr>
            </w:pPr>
          </w:p>
          <w:p w14:paraId="65F00068" w14:textId="78872056" w:rsidR="000433F3" w:rsidRPr="002A53B6" w:rsidRDefault="00936A82" w:rsidP="00AB30C3">
            <w:pPr>
              <w:pStyle w:val="SubmissionTable"/>
              <w:spacing w:before="0" w:after="0"/>
              <w:rPr>
                <w:rFonts w:cs="Arial"/>
                <w:sz w:val="20"/>
                <w:lang w:val="en-AU"/>
              </w:rPr>
            </w:pPr>
            <w:r w:rsidRPr="002A53B6">
              <w:rPr>
                <w:rFonts w:cs="Arial"/>
                <w:sz w:val="20"/>
                <w:lang w:val="en-AU"/>
              </w:rPr>
              <w:t>Additional advice is available through the permit application process, on Council's website or by calling Council's Contact Centre on 3403 8888.</w:t>
            </w:r>
          </w:p>
        </w:tc>
        <w:tc>
          <w:tcPr>
            <w:tcW w:w="1559" w:type="dxa"/>
            <w:shd w:val="clear" w:color="auto" w:fill="auto"/>
          </w:tcPr>
          <w:p w14:paraId="434C7324" w14:textId="1DB4987A" w:rsidR="00D152D0" w:rsidRPr="002A53B6" w:rsidRDefault="00936A82" w:rsidP="00447B35">
            <w:pPr>
              <w:pStyle w:val="SubmissionTable"/>
              <w:spacing w:before="0" w:after="0"/>
              <w:rPr>
                <w:rFonts w:cs="Arial"/>
                <w:sz w:val="20"/>
                <w:lang w:val="en-AU"/>
              </w:rPr>
            </w:pPr>
            <w:r w:rsidRPr="002A53B6">
              <w:rPr>
                <w:rFonts w:cs="Arial"/>
                <w:sz w:val="20"/>
                <w:lang w:val="en-AU"/>
              </w:rPr>
              <w:t>No change</w:t>
            </w:r>
          </w:p>
        </w:tc>
      </w:tr>
      <w:tr w:rsidR="00D152D0" w:rsidRPr="002A53B6" w14:paraId="78EDD743" w14:textId="77777777" w:rsidTr="007E4047">
        <w:trPr>
          <w:trHeight w:val="58"/>
        </w:trPr>
        <w:tc>
          <w:tcPr>
            <w:tcW w:w="1672" w:type="dxa"/>
            <w:shd w:val="clear" w:color="auto" w:fill="auto"/>
            <w:noWrap/>
          </w:tcPr>
          <w:p w14:paraId="633B63AD" w14:textId="6AC44475" w:rsidR="00D152D0" w:rsidRPr="002A53B6" w:rsidRDefault="00ED4D0E" w:rsidP="002D0222">
            <w:pPr>
              <w:pStyle w:val="SubmissionTable"/>
              <w:spacing w:before="0" w:after="0"/>
              <w:rPr>
                <w:rFonts w:cs="Arial"/>
                <w:sz w:val="20"/>
                <w:lang w:val="en-AU"/>
              </w:rPr>
            </w:pPr>
            <w:r w:rsidRPr="002A53B6">
              <w:rPr>
                <w:rFonts w:cs="Arial"/>
                <w:sz w:val="20"/>
                <w:lang w:val="en-AU"/>
              </w:rPr>
              <w:t>MK-018</w:t>
            </w:r>
          </w:p>
        </w:tc>
        <w:tc>
          <w:tcPr>
            <w:tcW w:w="5669" w:type="dxa"/>
            <w:shd w:val="clear" w:color="auto" w:fill="auto"/>
          </w:tcPr>
          <w:p w14:paraId="3F301F2E" w14:textId="6A9FBDBF" w:rsidR="006A7255" w:rsidRPr="00C06C8E" w:rsidRDefault="0039027D" w:rsidP="002D0222">
            <w:pPr>
              <w:spacing w:after="0"/>
              <w:rPr>
                <w:shd w:val="clear" w:color="auto" w:fill="FFFFFF"/>
              </w:rPr>
            </w:pPr>
            <w:r>
              <w:rPr>
                <w:shd w:val="clear" w:color="auto" w:fill="FFFFFF"/>
              </w:rPr>
              <w:t>The s</w:t>
            </w:r>
            <w:r w:rsidR="006A7255" w:rsidRPr="00C06C8E">
              <w:rPr>
                <w:shd w:val="clear" w:color="auto" w:fill="FFFFFF"/>
              </w:rPr>
              <w:t>ubmitter opposes the inclusion of three trees (a Blue Quandong and two Hoop Pines) at 487 Boundary Street and 40 Wedd Street, Spring Hill</w:t>
            </w:r>
            <w:r w:rsidR="00602AD7">
              <w:rPr>
                <w:shd w:val="clear" w:color="auto" w:fill="FFFFFF"/>
              </w:rPr>
              <w:t>,</w:t>
            </w:r>
            <w:r w:rsidR="006A7255" w:rsidRPr="00C06C8E">
              <w:rPr>
                <w:shd w:val="clear" w:color="auto" w:fill="FFFFFF"/>
              </w:rPr>
              <w:t xml:space="preserve"> in the Significant landscape tree overlay</w:t>
            </w:r>
            <w:r w:rsidR="00602AD7">
              <w:rPr>
                <w:shd w:val="clear" w:color="auto" w:fill="FFFFFF"/>
              </w:rPr>
              <w:t>,</w:t>
            </w:r>
            <w:r w:rsidR="006A7255" w:rsidRPr="00C06C8E">
              <w:rPr>
                <w:shd w:val="clear" w:color="auto" w:fill="FFFFFF"/>
              </w:rPr>
              <w:t xml:space="preserve"> </w:t>
            </w:r>
            <w:r w:rsidR="00BA4910">
              <w:rPr>
                <w:shd w:val="clear" w:color="auto" w:fill="FFFFFF"/>
              </w:rPr>
              <w:t>as</w:t>
            </w:r>
            <w:r w:rsidR="00250390">
              <w:rPr>
                <w:shd w:val="clear" w:color="auto" w:fill="FFFFFF"/>
              </w:rPr>
              <w:t xml:space="preserve"> there is</w:t>
            </w:r>
            <w:r w:rsidR="00BA4910">
              <w:rPr>
                <w:shd w:val="clear" w:color="auto" w:fill="FFFFFF"/>
              </w:rPr>
              <w:t xml:space="preserve"> a development approval</w:t>
            </w:r>
            <w:r w:rsidR="0069676D">
              <w:rPr>
                <w:shd w:val="clear" w:color="auto" w:fill="FFFFFF"/>
              </w:rPr>
              <w:t xml:space="preserve"> </w:t>
            </w:r>
            <w:r w:rsidR="0069676D" w:rsidRPr="002A53B6">
              <w:rPr>
                <w:rFonts w:cs="Arial"/>
                <w:lang w:val="en-AU"/>
              </w:rPr>
              <w:t>(A004892414</w:t>
            </w:r>
            <w:proofErr w:type="gramStart"/>
            <w:r w:rsidR="0069676D" w:rsidRPr="002A53B6">
              <w:rPr>
                <w:rFonts w:cs="Arial"/>
                <w:lang w:val="en-AU"/>
              </w:rPr>
              <w:t>)</w:t>
            </w:r>
            <w:r w:rsidR="0069676D">
              <w:rPr>
                <w:rFonts w:cs="Arial"/>
                <w:lang w:val="en-AU"/>
              </w:rPr>
              <w:t xml:space="preserve"> </w:t>
            </w:r>
            <w:r w:rsidR="00BA4910">
              <w:rPr>
                <w:shd w:val="clear" w:color="auto" w:fill="FFFFFF"/>
              </w:rPr>
              <w:t xml:space="preserve"> providing</w:t>
            </w:r>
            <w:proofErr w:type="gramEnd"/>
            <w:r w:rsidR="00BA4910">
              <w:rPr>
                <w:shd w:val="clear" w:color="auto" w:fill="FFFFFF"/>
              </w:rPr>
              <w:t xml:space="preserve"> for removal of the trees</w:t>
            </w:r>
            <w:r w:rsidR="00250390">
              <w:rPr>
                <w:shd w:val="clear" w:color="auto" w:fill="FFFFFF"/>
              </w:rPr>
              <w:t>.</w:t>
            </w:r>
            <w:r w:rsidR="00BA4910">
              <w:rPr>
                <w:shd w:val="clear" w:color="auto" w:fill="FFFFFF"/>
              </w:rPr>
              <w:t xml:space="preserve"> </w:t>
            </w:r>
          </w:p>
          <w:p w14:paraId="14B1EBAC" w14:textId="77777777" w:rsidR="00602AD7" w:rsidRDefault="00602AD7" w:rsidP="008D1A35">
            <w:pPr>
              <w:pStyle w:val="SubmissionTable"/>
              <w:spacing w:before="0" w:after="0"/>
              <w:jc w:val="both"/>
              <w:rPr>
                <w:rFonts w:cs="Arial"/>
                <w:sz w:val="20"/>
                <w:lang w:val="en-AU"/>
              </w:rPr>
            </w:pPr>
          </w:p>
          <w:p w14:paraId="786BD224" w14:textId="6704A90C" w:rsidR="00D42AA2" w:rsidRPr="000433F3" w:rsidRDefault="006A7255" w:rsidP="008D1A35">
            <w:pPr>
              <w:pStyle w:val="SubmissionTable"/>
              <w:spacing w:before="0" w:after="0"/>
              <w:jc w:val="both"/>
              <w:rPr>
                <w:rFonts w:cs="Arial"/>
                <w:sz w:val="20"/>
                <w:lang w:val="en-AU"/>
              </w:rPr>
            </w:pPr>
            <w:r w:rsidRPr="002A53B6">
              <w:rPr>
                <w:rFonts w:cs="Arial"/>
                <w:sz w:val="20"/>
                <w:lang w:val="en-AU"/>
              </w:rPr>
              <w:t xml:space="preserve">The decision is currently subject to appeal in the Planning and Environment </w:t>
            </w:r>
            <w:proofErr w:type="gramStart"/>
            <w:r w:rsidRPr="002A53B6">
              <w:rPr>
                <w:rFonts w:cs="Arial"/>
                <w:sz w:val="20"/>
                <w:lang w:val="en-AU"/>
              </w:rPr>
              <w:t>Court,</w:t>
            </w:r>
            <w:proofErr w:type="gramEnd"/>
            <w:r w:rsidRPr="002A53B6">
              <w:rPr>
                <w:rFonts w:cs="Arial"/>
                <w:sz w:val="20"/>
                <w:lang w:val="en-AU"/>
              </w:rPr>
              <w:t xml:space="preserve"> however</w:t>
            </w:r>
            <w:r w:rsidR="007E4047">
              <w:rPr>
                <w:rFonts w:cs="Arial"/>
                <w:sz w:val="20"/>
                <w:lang w:val="en-AU"/>
              </w:rPr>
              <w:t>,</w:t>
            </w:r>
            <w:r w:rsidRPr="002A53B6">
              <w:rPr>
                <w:rFonts w:cs="Arial"/>
                <w:sz w:val="20"/>
                <w:lang w:val="en-AU"/>
              </w:rPr>
              <w:t xml:space="preserve"> Council accepted the removal of these trees as part of the approved development.</w:t>
            </w:r>
          </w:p>
        </w:tc>
        <w:tc>
          <w:tcPr>
            <w:tcW w:w="5559" w:type="dxa"/>
            <w:shd w:val="clear" w:color="auto" w:fill="auto"/>
          </w:tcPr>
          <w:p w14:paraId="5B69974D" w14:textId="6FEA9F9B" w:rsidR="000433F3" w:rsidRPr="005439AF" w:rsidRDefault="00301538" w:rsidP="00AB30C3">
            <w:pPr>
              <w:pStyle w:val="SubmissionTable"/>
              <w:spacing w:before="0" w:after="0"/>
              <w:rPr>
                <w:rFonts w:cs="Arial"/>
                <w:sz w:val="20"/>
                <w:shd w:val="clear" w:color="auto" w:fill="FFFFFF"/>
              </w:rPr>
            </w:pPr>
            <w:r>
              <w:rPr>
                <w:rFonts w:cs="Arial"/>
                <w:sz w:val="20"/>
                <w:lang w:val="en-AU"/>
              </w:rPr>
              <w:t xml:space="preserve">The development approval and Planning and Environment Court appeal over the site has been reviewed. It is noted </w:t>
            </w:r>
            <w:r w:rsidR="00602AD7">
              <w:rPr>
                <w:rFonts w:cs="Arial"/>
                <w:sz w:val="20"/>
                <w:lang w:val="en-AU"/>
              </w:rPr>
              <w:t xml:space="preserve">that </w:t>
            </w:r>
            <w:r>
              <w:rPr>
                <w:rFonts w:cs="Arial"/>
                <w:sz w:val="20"/>
                <w:lang w:val="en-AU"/>
              </w:rPr>
              <w:t xml:space="preserve">Council’s approval does allow for removal of the identified trees, and the submitter appeal of Council’s approval has been withdrawn. This site has therefore been included on a list for investigation for a potential future amendment to reflect the development approval. </w:t>
            </w:r>
            <w:r w:rsidRPr="000433F3">
              <w:rPr>
                <w:rFonts w:cs="Arial"/>
                <w:sz w:val="20"/>
                <w:shd w:val="clear" w:color="auto" w:fill="FFFFFF"/>
              </w:rPr>
              <w:t xml:space="preserve">Please note </w:t>
            </w:r>
            <w:r w:rsidR="00602AD7">
              <w:rPr>
                <w:rFonts w:cs="Arial"/>
                <w:sz w:val="20"/>
                <w:shd w:val="clear" w:color="auto" w:fill="FFFFFF"/>
              </w:rPr>
              <w:t xml:space="preserve">that </w:t>
            </w:r>
            <w:r w:rsidRPr="000433F3">
              <w:rPr>
                <w:rFonts w:cs="Arial"/>
                <w:sz w:val="20"/>
                <w:shd w:val="clear" w:color="auto" w:fill="FFFFFF"/>
              </w:rPr>
              <w:t>Council does not make any planning scheme changes to reflect a development approval until the approval has been enacted</w:t>
            </w:r>
            <w:r>
              <w:rPr>
                <w:rFonts w:cs="Arial"/>
                <w:sz w:val="20"/>
                <w:shd w:val="clear" w:color="auto" w:fill="FFFFFF"/>
              </w:rPr>
              <w:t>.</w:t>
            </w:r>
          </w:p>
        </w:tc>
        <w:tc>
          <w:tcPr>
            <w:tcW w:w="1559" w:type="dxa"/>
            <w:shd w:val="clear" w:color="auto" w:fill="auto"/>
          </w:tcPr>
          <w:p w14:paraId="7CDE5849" w14:textId="4852DA6F" w:rsidR="00D152D0" w:rsidRPr="002A53B6" w:rsidRDefault="00DB52AD" w:rsidP="00447B35">
            <w:pPr>
              <w:pStyle w:val="SubmissionTable"/>
              <w:spacing w:before="0" w:after="0"/>
              <w:rPr>
                <w:rFonts w:cs="Arial"/>
                <w:sz w:val="20"/>
                <w:lang w:val="en-AU"/>
              </w:rPr>
            </w:pPr>
            <w:r w:rsidRPr="002A53B6">
              <w:rPr>
                <w:rFonts w:cs="Arial"/>
                <w:sz w:val="20"/>
                <w:lang w:val="en-AU"/>
              </w:rPr>
              <w:t>No change</w:t>
            </w:r>
          </w:p>
        </w:tc>
      </w:tr>
      <w:tr w:rsidR="005B0BD5" w:rsidRPr="002A53B6" w14:paraId="312A5CFF" w14:textId="77777777" w:rsidTr="007E4047">
        <w:trPr>
          <w:trHeight w:val="58"/>
        </w:trPr>
        <w:tc>
          <w:tcPr>
            <w:tcW w:w="1672" w:type="dxa"/>
            <w:shd w:val="clear" w:color="auto" w:fill="auto"/>
            <w:noWrap/>
          </w:tcPr>
          <w:p w14:paraId="0AB6B841" w14:textId="1E56291D" w:rsidR="005B0BD5" w:rsidRPr="002A53B6" w:rsidRDefault="0012398C" w:rsidP="002D0222">
            <w:pPr>
              <w:pStyle w:val="SubmissionTable"/>
              <w:spacing w:before="0" w:after="0"/>
              <w:rPr>
                <w:rFonts w:cs="Arial"/>
                <w:sz w:val="20"/>
                <w:lang w:val="en-AU"/>
              </w:rPr>
            </w:pPr>
            <w:r w:rsidRPr="00C531B4">
              <w:rPr>
                <w:rFonts w:cs="Arial"/>
                <w:sz w:val="20"/>
                <w:lang w:val="en-AU"/>
              </w:rPr>
              <w:t>MK-033</w:t>
            </w:r>
          </w:p>
        </w:tc>
        <w:tc>
          <w:tcPr>
            <w:tcW w:w="5669" w:type="dxa"/>
            <w:shd w:val="clear" w:color="auto" w:fill="auto"/>
          </w:tcPr>
          <w:p w14:paraId="1EC74798" w14:textId="38D621E7" w:rsidR="00D42AA2" w:rsidRPr="00C86CB3" w:rsidRDefault="0039027D" w:rsidP="002D0222">
            <w:pPr>
              <w:spacing w:after="0"/>
              <w:rPr>
                <w:shd w:val="clear" w:color="auto" w:fill="FFFFFF"/>
              </w:rPr>
            </w:pPr>
            <w:r>
              <w:rPr>
                <w:shd w:val="clear" w:color="auto" w:fill="FFFFFF"/>
              </w:rPr>
              <w:t>The s</w:t>
            </w:r>
            <w:r w:rsidR="007222FD" w:rsidRPr="00C06C8E">
              <w:rPr>
                <w:shd w:val="clear" w:color="auto" w:fill="FFFFFF"/>
              </w:rPr>
              <w:t>ubmitter opposes the inclusion of a tree at 39 East Street, Camp Hill</w:t>
            </w:r>
            <w:r w:rsidR="00602AD7">
              <w:rPr>
                <w:shd w:val="clear" w:color="auto" w:fill="FFFFFF"/>
              </w:rPr>
              <w:t>,</w:t>
            </w:r>
            <w:r w:rsidR="007222FD" w:rsidRPr="00C06C8E">
              <w:rPr>
                <w:shd w:val="clear" w:color="auto" w:fill="FFFFFF"/>
              </w:rPr>
              <w:t xml:space="preserve"> </w:t>
            </w:r>
            <w:r w:rsidR="00630675" w:rsidRPr="00C06C8E">
              <w:rPr>
                <w:shd w:val="clear" w:color="auto" w:fill="FFFFFF"/>
              </w:rPr>
              <w:t>i</w:t>
            </w:r>
            <w:r w:rsidR="007222FD" w:rsidRPr="00C06C8E">
              <w:rPr>
                <w:shd w:val="clear" w:color="auto" w:fill="FFFFFF"/>
              </w:rPr>
              <w:t>n the Significant landscape tree overlay as the large tree was removed several years ago following a safety incident. At that time</w:t>
            </w:r>
            <w:r w:rsidR="007E4047">
              <w:rPr>
                <w:shd w:val="clear" w:color="auto" w:fill="FFFFFF"/>
              </w:rPr>
              <w:t>,</w:t>
            </w:r>
            <w:r w:rsidR="007222FD" w:rsidRPr="00C06C8E">
              <w:rPr>
                <w:shd w:val="clear" w:color="auto" w:fill="FFFFFF"/>
              </w:rPr>
              <w:t xml:space="preserve"> it was identified</w:t>
            </w:r>
            <w:r w:rsidR="00602AD7">
              <w:rPr>
                <w:shd w:val="clear" w:color="auto" w:fill="FFFFFF"/>
              </w:rPr>
              <w:t xml:space="preserve"> that </w:t>
            </w:r>
            <w:r w:rsidR="007222FD" w:rsidRPr="00C06C8E">
              <w:rPr>
                <w:shd w:val="clear" w:color="auto" w:fill="FFFFFF"/>
              </w:rPr>
              <w:t xml:space="preserve">the tree was dying and was interfering with sewerage pipes. </w:t>
            </w:r>
          </w:p>
        </w:tc>
        <w:tc>
          <w:tcPr>
            <w:tcW w:w="5559" w:type="dxa"/>
            <w:shd w:val="clear" w:color="auto" w:fill="auto"/>
          </w:tcPr>
          <w:p w14:paraId="7141B8FF" w14:textId="57215885" w:rsidR="00756610" w:rsidRDefault="00784797" w:rsidP="002D0222">
            <w:pPr>
              <w:spacing w:after="0"/>
            </w:pPr>
            <w:r>
              <w:t xml:space="preserve">Council will no longer proceed with </w:t>
            </w:r>
            <w:r w:rsidR="00756610" w:rsidRPr="00B411AB">
              <w:t xml:space="preserve">including the </w:t>
            </w:r>
            <w:r w:rsidR="00B411AB" w:rsidRPr="00B411AB">
              <w:t>fig</w:t>
            </w:r>
            <w:r w:rsidR="00756610" w:rsidRPr="00B411AB">
              <w:t xml:space="preserve"> tree at</w:t>
            </w:r>
            <w:r w:rsidR="00756610">
              <w:t xml:space="preserve"> </w:t>
            </w:r>
            <w:r>
              <w:t>39 East Street, Camp Hill</w:t>
            </w:r>
            <w:r w:rsidR="00602AD7">
              <w:t>,</w:t>
            </w:r>
            <w:r>
              <w:t xml:space="preserve"> </w:t>
            </w:r>
            <w:r w:rsidR="00756610">
              <w:t xml:space="preserve">in the Significant landscape tree overlay </w:t>
            </w:r>
            <w:r>
              <w:t xml:space="preserve">following confirmation of the tree’s removal. </w:t>
            </w:r>
          </w:p>
          <w:p w14:paraId="4ED01033" w14:textId="77777777" w:rsidR="00756610" w:rsidRDefault="00756610" w:rsidP="002D0222">
            <w:pPr>
              <w:spacing w:after="0"/>
            </w:pPr>
          </w:p>
          <w:p w14:paraId="6A9AA051" w14:textId="6F0D28BD" w:rsidR="005B0BD5" w:rsidRDefault="00756610" w:rsidP="002D0222">
            <w:pPr>
              <w:spacing w:after="0"/>
            </w:pPr>
            <w:r>
              <w:t>The</w:t>
            </w:r>
            <w:r w:rsidR="00784797">
              <w:t xml:space="preserve"> loss of this tree is under review by Council’s Compliance team.</w:t>
            </w:r>
            <w:r w:rsidR="00250390">
              <w:t xml:space="preserve"> </w:t>
            </w:r>
            <w:r w:rsidR="00784797">
              <w:t xml:space="preserve">Council’s decision to no longer pursue the </w:t>
            </w:r>
            <w:r w:rsidR="0058726F">
              <w:t>identification</w:t>
            </w:r>
            <w:r>
              <w:t xml:space="preserve"> of the tree in the </w:t>
            </w:r>
            <w:r w:rsidR="00784797">
              <w:t xml:space="preserve">overlay has no influence on the outcome of the </w:t>
            </w:r>
            <w:r w:rsidR="000758C6" w:rsidRPr="00784797">
              <w:rPr>
                <w:i/>
                <w:iCs/>
              </w:rPr>
              <w:t>Natural Assets Local Law 2003</w:t>
            </w:r>
            <w:r w:rsidR="000758C6">
              <w:t xml:space="preserve"> (NALL)</w:t>
            </w:r>
            <w:r w:rsidR="00784797">
              <w:t xml:space="preserve"> review nor any potential remedy or enforcement action that may result should an offence have occurred.</w:t>
            </w:r>
          </w:p>
          <w:p w14:paraId="5F94721D" w14:textId="77777777" w:rsidR="000433F3" w:rsidRDefault="000433F3" w:rsidP="002D0222">
            <w:pPr>
              <w:spacing w:after="0"/>
              <w:rPr>
                <w:rFonts w:cs="Arial"/>
                <w:lang w:val="en-AU"/>
              </w:rPr>
            </w:pPr>
          </w:p>
          <w:p w14:paraId="5E124B9D" w14:textId="354DB897" w:rsidR="00820EED" w:rsidRPr="002A53B6" w:rsidRDefault="00820EED" w:rsidP="002D0222">
            <w:pPr>
              <w:spacing w:after="0"/>
              <w:rPr>
                <w:rFonts w:cs="Arial"/>
                <w:lang w:val="en-AU"/>
              </w:rPr>
            </w:pPr>
            <w:r>
              <w:rPr>
                <w:rFonts w:cs="Arial"/>
                <w:lang w:val="en-AU"/>
              </w:rPr>
              <w:lastRenderedPageBreak/>
              <w:t>The removal of this entry in the Significant landscape tree overlay requires changes to the code and mapping. Mapping changes include for adjoining properties at 37 East Street and common property 41 East Street, Camp Hill</w:t>
            </w:r>
            <w:r w:rsidR="00602AD7">
              <w:rPr>
                <w:rFonts w:cs="Arial"/>
                <w:lang w:val="en-AU"/>
              </w:rPr>
              <w:t>,</w:t>
            </w:r>
            <w:r>
              <w:rPr>
                <w:rFonts w:cs="Arial"/>
                <w:lang w:val="en-AU"/>
              </w:rPr>
              <w:t xml:space="preserve"> and Unit 1 and common property 35 Cambridge Street, Carina Heights. </w:t>
            </w:r>
          </w:p>
        </w:tc>
        <w:tc>
          <w:tcPr>
            <w:tcW w:w="1559" w:type="dxa"/>
            <w:shd w:val="clear" w:color="auto" w:fill="auto"/>
          </w:tcPr>
          <w:p w14:paraId="7EEBA51E" w14:textId="1760B42D" w:rsidR="005B0BD5" w:rsidRPr="002A53B6" w:rsidRDefault="00DB52AD" w:rsidP="00447B35">
            <w:pPr>
              <w:pStyle w:val="SubmissionTable"/>
              <w:spacing w:before="0" w:after="0"/>
              <w:rPr>
                <w:rFonts w:cs="Arial"/>
                <w:sz w:val="20"/>
                <w:lang w:val="en-AU"/>
              </w:rPr>
            </w:pPr>
            <w:r w:rsidRPr="00B44079">
              <w:rPr>
                <w:rFonts w:cs="Arial"/>
                <w:sz w:val="20"/>
                <w:lang w:val="en-AU"/>
              </w:rPr>
              <w:lastRenderedPageBreak/>
              <w:t>Change</w:t>
            </w:r>
          </w:p>
        </w:tc>
      </w:tr>
      <w:tr w:rsidR="00970A3B" w:rsidRPr="002A53B6" w14:paraId="38CE5D3C" w14:textId="77777777" w:rsidTr="007E4047">
        <w:trPr>
          <w:trHeight w:val="58"/>
        </w:trPr>
        <w:tc>
          <w:tcPr>
            <w:tcW w:w="1672" w:type="dxa"/>
            <w:shd w:val="clear" w:color="auto" w:fill="auto"/>
            <w:noWrap/>
          </w:tcPr>
          <w:p w14:paraId="3130D0BE" w14:textId="60D202B3" w:rsidR="00970A3B" w:rsidRPr="007A68BE" w:rsidRDefault="00970A3B" w:rsidP="002D0222">
            <w:pPr>
              <w:pStyle w:val="SubmissionTable"/>
              <w:spacing w:before="0" w:after="0"/>
              <w:rPr>
                <w:rFonts w:cs="Arial"/>
                <w:sz w:val="20"/>
                <w:lang w:val="en-AU"/>
              </w:rPr>
            </w:pPr>
            <w:r w:rsidRPr="00C948B3">
              <w:rPr>
                <w:rFonts w:cs="Arial"/>
                <w:sz w:val="20"/>
                <w:lang w:val="en-AU"/>
              </w:rPr>
              <w:t>MK-</w:t>
            </w:r>
            <w:r>
              <w:rPr>
                <w:rFonts w:cs="Arial"/>
                <w:sz w:val="20"/>
                <w:lang w:val="en-AU"/>
              </w:rPr>
              <w:t>0</w:t>
            </w:r>
            <w:r w:rsidRPr="00C948B3">
              <w:rPr>
                <w:rFonts w:cs="Arial"/>
                <w:sz w:val="20"/>
                <w:lang w:val="en-AU"/>
              </w:rPr>
              <w:t>46</w:t>
            </w:r>
          </w:p>
        </w:tc>
        <w:tc>
          <w:tcPr>
            <w:tcW w:w="5669" w:type="dxa"/>
            <w:shd w:val="clear" w:color="auto" w:fill="auto"/>
          </w:tcPr>
          <w:p w14:paraId="0BD755C7" w14:textId="45D3E124" w:rsidR="00970A3B" w:rsidRPr="001F5ED6" w:rsidRDefault="0039027D" w:rsidP="00970A3B">
            <w:pPr>
              <w:spacing w:after="0"/>
              <w:rPr>
                <w:shd w:val="clear" w:color="auto" w:fill="FFFFFF"/>
              </w:rPr>
            </w:pPr>
            <w:r>
              <w:rPr>
                <w:shd w:val="clear" w:color="auto" w:fill="FFFFFF"/>
              </w:rPr>
              <w:t>The s</w:t>
            </w:r>
            <w:r w:rsidR="00970A3B" w:rsidRPr="001F5ED6">
              <w:rPr>
                <w:shd w:val="clear" w:color="auto" w:fill="FFFFFF"/>
              </w:rPr>
              <w:t>ubmitter supports the proposed</w:t>
            </w:r>
            <w:r w:rsidR="00970A3B">
              <w:rPr>
                <w:shd w:val="clear" w:color="auto" w:fill="FFFFFF"/>
              </w:rPr>
              <w:t xml:space="preserve"> addition of the</w:t>
            </w:r>
            <w:r w:rsidR="00970A3B" w:rsidRPr="001F5ED6">
              <w:rPr>
                <w:shd w:val="clear" w:color="auto" w:fill="FFFFFF"/>
              </w:rPr>
              <w:t xml:space="preserve"> Commercial </w:t>
            </w:r>
            <w:proofErr w:type="gramStart"/>
            <w:r w:rsidR="00970A3B" w:rsidRPr="001F5ED6">
              <w:rPr>
                <w:shd w:val="clear" w:color="auto" w:fill="FFFFFF"/>
              </w:rPr>
              <w:t>character building</w:t>
            </w:r>
            <w:proofErr w:type="gramEnd"/>
            <w:r w:rsidR="00970A3B" w:rsidRPr="001F5ED6">
              <w:rPr>
                <w:shd w:val="clear" w:color="auto" w:fill="FFFFFF"/>
              </w:rPr>
              <w:t xml:space="preserve"> overlay on 71 Frasers R</w:t>
            </w:r>
            <w:r w:rsidR="007E4047">
              <w:rPr>
                <w:shd w:val="clear" w:color="auto" w:fill="FFFFFF"/>
              </w:rPr>
              <w:t>oa</w:t>
            </w:r>
            <w:r w:rsidR="00970A3B" w:rsidRPr="001F5ED6">
              <w:rPr>
                <w:shd w:val="clear" w:color="auto" w:fill="FFFFFF"/>
              </w:rPr>
              <w:t>d, Ashgrove for the following reasons</w:t>
            </w:r>
            <w:r w:rsidR="007E4047">
              <w:rPr>
                <w:shd w:val="clear" w:color="auto" w:fill="FFFFFF"/>
              </w:rPr>
              <w:t>.</w:t>
            </w:r>
            <w:r w:rsidR="00970A3B" w:rsidRPr="001F5ED6">
              <w:rPr>
                <w:shd w:val="clear" w:color="auto" w:fill="FFFFFF"/>
              </w:rPr>
              <w:t xml:space="preserve"> </w:t>
            </w:r>
          </w:p>
          <w:p w14:paraId="5F026472" w14:textId="77777777" w:rsidR="00970A3B" w:rsidRPr="008A62BF" w:rsidRDefault="00970A3B" w:rsidP="00970A3B">
            <w:pPr>
              <w:pStyle w:val="SubmissionTable"/>
              <w:numPr>
                <w:ilvl w:val="0"/>
                <w:numId w:val="11"/>
              </w:numPr>
              <w:spacing w:before="0" w:after="0"/>
              <w:jc w:val="both"/>
              <w:rPr>
                <w:rFonts w:cs="Arial"/>
                <w:sz w:val="20"/>
                <w:lang w:val="en-AU"/>
              </w:rPr>
            </w:pPr>
            <w:r w:rsidRPr="008A62BF">
              <w:rPr>
                <w:rFonts w:cs="Arial"/>
                <w:sz w:val="20"/>
                <w:shd w:val="clear" w:color="auto" w:fill="FFFFFF"/>
              </w:rPr>
              <w:t xml:space="preserve">Both buildings on the property </w:t>
            </w:r>
            <w:proofErr w:type="gramStart"/>
            <w:r w:rsidRPr="008A62BF">
              <w:rPr>
                <w:rFonts w:cs="Arial"/>
                <w:sz w:val="20"/>
                <w:shd w:val="clear" w:color="auto" w:fill="FFFFFF"/>
              </w:rPr>
              <w:t>are able to</w:t>
            </w:r>
            <w:proofErr w:type="gramEnd"/>
            <w:r w:rsidRPr="008A62BF">
              <w:rPr>
                <w:rFonts w:cs="Arial"/>
                <w:sz w:val="20"/>
                <w:shd w:val="clear" w:color="auto" w:fill="FFFFFF"/>
              </w:rPr>
              <w:t xml:space="preserve"> support wider activities than purely residential. </w:t>
            </w:r>
          </w:p>
          <w:p w14:paraId="79D4493F" w14:textId="77777777" w:rsidR="00970A3B" w:rsidRPr="0036092C" w:rsidRDefault="00970A3B" w:rsidP="00970A3B">
            <w:pPr>
              <w:pStyle w:val="SubmissionTable"/>
              <w:numPr>
                <w:ilvl w:val="0"/>
                <w:numId w:val="11"/>
              </w:numPr>
              <w:spacing w:before="0" w:after="0"/>
              <w:jc w:val="both"/>
              <w:rPr>
                <w:rFonts w:cs="Arial"/>
                <w:sz w:val="20"/>
                <w:lang w:val="en-AU"/>
              </w:rPr>
            </w:pPr>
            <w:r>
              <w:rPr>
                <w:rFonts w:cs="Arial"/>
                <w:sz w:val="20"/>
                <w:shd w:val="clear" w:color="auto" w:fill="FFFFFF"/>
              </w:rPr>
              <w:t>It p</w:t>
            </w:r>
            <w:r w:rsidRPr="008A62BF">
              <w:rPr>
                <w:rFonts w:cs="Arial"/>
                <w:sz w:val="20"/>
                <w:shd w:val="clear" w:color="auto" w:fill="FFFFFF"/>
              </w:rPr>
              <w:t xml:space="preserve">reserves icons of this type to tell the story of earlier generations. </w:t>
            </w:r>
          </w:p>
          <w:p w14:paraId="600ADBF0" w14:textId="77777777" w:rsidR="00970A3B" w:rsidRDefault="00970A3B" w:rsidP="00970A3B">
            <w:pPr>
              <w:spacing w:after="0"/>
              <w:rPr>
                <w:shd w:val="clear" w:color="auto" w:fill="FFFFFF"/>
              </w:rPr>
            </w:pPr>
          </w:p>
          <w:p w14:paraId="1BA46F50" w14:textId="44E1FF07" w:rsidR="00970A3B" w:rsidRPr="001F5ED6" w:rsidRDefault="00970A3B" w:rsidP="00970A3B">
            <w:pPr>
              <w:spacing w:after="0"/>
              <w:rPr>
                <w:shd w:val="clear" w:color="auto" w:fill="FFFFFF"/>
              </w:rPr>
            </w:pPr>
            <w:r>
              <w:rPr>
                <w:shd w:val="clear" w:color="auto" w:fill="FFFFFF"/>
              </w:rPr>
              <w:t>The s</w:t>
            </w:r>
            <w:r w:rsidRPr="001F5ED6">
              <w:rPr>
                <w:shd w:val="clear" w:color="auto" w:fill="FFFFFF"/>
              </w:rPr>
              <w:t>ubmitter has the following concerns relating to the proposed change</w:t>
            </w:r>
            <w:r w:rsidR="007E4047">
              <w:rPr>
                <w:shd w:val="clear" w:color="auto" w:fill="FFFFFF"/>
              </w:rPr>
              <w:t>.</w:t>
            </w:r>
            <w:r w:rsidRPr="001F5ED6">
              <w:rPr>
                <w:shd w:val="clear" w:color="auto" w:fill="FFFFFF"/>
              </w:rPr>
              <w:t xml:space="preserve"> </w:t>
            </w:r>
          </w:p>
          <w:p w14:paraId="4099867E" w14:textId="77777777" w:rsidR="00C86CB3" w:rsidRPr="00C86CB3" w:rsidRDefault="00970A3B" w:rsidP="00970A3B">
            <w:pPr>
              <w:pStyle w:val="SubmissionTable"/>
              <w:numPr>
                <w:ilvl w:val="0"/>
                <w:numId w:val="11"/>
              </w:numPr>
              <w:spacing w:before="0" w:after="0"/>
              <w:jc w:val="both"/>
              <w:rPr>
                <w:rFonts w:cs="Arial"/>
                <w:sz w:val="20"/>
                <w:lang w:val="en-AU"/>
              </w:rPr>
            </w:pPr>
            <w:r w:rsidRPr="008A62BF">
              <w:rPr>
                <w:rFonts w:cs="Arial"/>
                <w:sz w:val="20"/>
                <w:shd w:val="clear" w:color="auto" w:fill="FFFFFF"/>
              </w:rPr>
              <w:t xml:space="preserve">It may bring additional charges (such as Rates). </w:t>
            </w:r>
          </w:p>
          <w:p w14:paraId="38C4C38B" w14:textId="38E1918C" w:rsidR="00970A3B" w:rsidRPr="00602AD7" w:rsidRDefault="00970A3B" w:rsidP="00970A3B">
            <w:pPr>
              <w:pStyle w:val="SubmissionTable"/>
              <w:numPr>
                <w:ilvl w:val="0"/>
                <w:numId w:val="11"/>
              </w:numPr>
              <w:spacing w:before="0" w:after="0"/>
              <w:jc w:val="both"/>
              <w:rPr>
                <w:rFonts w:cs="Arial"/>
                <w:sz w:val="20"/>
                <w:lang w:val="en-AU"/>
              </w:rPr>
            </w:pPr>
            <w:r w:rsidRPr="00602AD7">
              <w:rPr>
                <w:rFonts w:cs="Arial"/>
                <w:sz w:val="20"/>
                <w:shd w:val="clear" w:color="auto" w:fill="FFFFFF"/>
              </w:rPr>
              <w:t>The overlay may prevent renting out the Caretaker's residence on the property.</w:t>
            </w:r>
          </w:p>
        </w:tc>
        <w:tc>
          <w:tcPr>
            <w:tcW w:w="5559" w:type="dxa"/>
            <w:shd w:val="clear" w:color="auto" w:fill="auto"/>
          </w:tcPr>
          <w:p w14:paraId="15D34B9A" w14:textId="77777777" w:rsidR="00970A3B" w:rsidRDefault="00970A3B" w:rsidP="00970A3B">
            <w:pPr>
              <w:tabs>
                <w:tab w:val="left" w:pos="915"/>
              </w:tabs>
              <w:spacing w:after="0"/>
              <w:rPr>
                <w:rFonts w:cs="Arial"/>
                <w:lang w:val="en-AU"/>
              </w:rPr>
            </w:pPr>
            <w:r w:rsidRPr="008A62BF">
              <w:rPr>
                <w:rFonts w:cs="Arial"/>
                <w:lang w:val="en-AU"/>
              </w:rPr>
              <w:t>Support noted</w:t>
            </w:r>
            <w:r>
              <w:rPr>
                <w:rFonts w:cs="Arial"/>
                <w:lang w:val="en-AU"/>
              </w:rPr>
              <w:t>.</w:t>
            </w:r>
          </w:p>
          <w:p w14:paraId="66080658" w14:textId="77777777" w:rsidR="00970A3B" w:rsidRDefault="00970A3B" w:rsidP="00970A3B">
            <w:pPr>
              <w:tabs>
                <w:tab w:val="left" w:pos="915"/>
              </w:tabs>
              <w:spacing w:after="0"/>
              <w:rPr>
                <w:rFonts w:cs="Arial"/>
                <w:lang w:val="en-AU"/>
              </w:rPr>
            </w:pPr>
          </w:p>
          <w:p w14:paraId="5CE84F09" w14:textId="77777777" w:rsidR="00970A3B" w:rsidRDefault="00970A3B" w:rsidP="00970A3B">
            <w:pPr>
              <w:tabs>
                <w:tab w:val="left" w:pos="915"/>
              </w:tabs>
              <w:spacing w:after="0"/>
              <w:rPr>
                <w:rFonts w:cs="Arial"/>
                <w:lang w:val="en-AU"/>
              </w:rPr>
            </w:pPr>
            <w:r>
              <w:rPr>
                <w:rFonts w:cs="Arial"/>
                <w:lang w:val="en-AU"/>
              </w:rPr>
              <w:t xml:space="preserve">The amendment is proposing to apply the Commercial </w:t>
            </w:r>
            <w:proofErr w:type="gramStart"/>
            <w:r>
              <w:rPr>
                <w:rFonts w:cs="Arial"/>
                <w:lang w:val="en-AU"/>
              </w:rPr>
              <w:t>character building</w:t>
            </w:r>
            <w:proofErr w:type="gramEnd"/>
            <w:r>
              <w:rPr>
                <w:rFonts w:cs="Arial"/>
                <w:lang w:val="en-AU"/>
              </w:rPr>
              <w:t xml:space="preserve"> overlay to the property, not changing the zone, which will remain as the Low density residential zone. The overlay does not prevent the rear dwelling from being used for residential purposes.</w:t>
            </w:r>
          </w:p>
          <w:p w14:paraId="572CE9C7" w14:textId="77777777" w:rsidR="00970A3B" w:rsidRDefault="00970A3B" w:rsidP="00970A3B">
            <w:pPr>
              <w:tabs>
                <w:tab w:val="left" w:pos="915"/>
              </w:tabs>
              <w:spacing w:after="0"/>
              <w:rPr>
                <w:rFonts w:cs="Arial"/>
                <w:lang w:val="en-AU"/>
              </w:rPr>
            </w:pPr>
          </w:p>
          <w:p w14:paraId="6F8E8003" w14:textId="45632ABF" w:rsidR="00970A3B" w:rsidRPr="005439AF" w:rsidRDefault="00970A3B" w:rsidP="005439AF">
            <w:pPr>
              <w:tabs>
                <w:tab w:val="left" w:pos="915"/>
              </w:tabs>
              <w:spacing w:after="0"/>
              <w:rPr>
                <w:rFonts w:cs="Arial"/>
                <w:lang w:val="en-AU"/>
              </w:rPr>
            </w:pPr>
            <w:r>
              <w:rPr>
                <w:rFonts w:cs="Arial"/>
                <w:lang w:val="en-AU"/>
              </w:rPr>
              <w:t xml:space="preserve">Rates are calculated based on land valuations and rating categories. Council calculates a rate charge by multiplying </w:t>
            </w:r>
            <w:r w:rsidR="00602AD7">
              <w:rPr>
                <w:rFonts w:cs="Arial"/>
                <w:lang w:val="en-AU"/>
              </w:rPr>
              <w:t>the</w:t>
            </w:r>
            <w:r>
              <w:rPr>
                <w:rFonts w:cs="Arial"/>
                <w:lang w:val="en-AU"/>
              </w:rPr>
              <w:t xml:space="preserve"> property’s average rateable value (ARV) by a dollar rate. The dollar rate depends on </w:t>
            </w:r>
            <w:r w:rsidR="00602AD7">
              <w:rPr>
                <w:rFonts w:cs="Arial"/>
                <w:lang w:val="en-AU"/>
              </w:rPr>
              <w:t>the</w:t>
            </w:r>
            <w:r>
              <w:rPr>
                <w:rFonts w:cs="Arial"/>
                <w:lang w:val="en-AU"/>
              </w:rPr>
              <w:t xml:space="preserve"> property’s rating category, based on its main land use. More information on land valuations and rating categories can be found on Council’s website.</w:t>
            </w:r>
          </w:p>
        </w:tc>
        <w:tc>
          <w:tcPr>
            <w:tcW w:w="1559" w:type="dxa"/>
            <w:shd w:val="clear" w:color="auto" w:fill="auto"/>
          </w:tcPr>
          <w:p w14:paraId="48D1EF19" w14:textId="50E379AC" w:rsidR="00970A3B" w:rsidRPr="00B059FD" w:rsidRDefault="00970A3B" w:rsidP="00447B35">
            <w:pPr>
              <w:pStyle w:val="SubmissionTable"/>
              <w:spacing w:before="0" w:after="0"/>
              <w:rPr>
                <w:rFonts w:cs="Arial"/>
                <w:sz w:val="20"/>
                <w:lang w:val="en-AU"/>
              </w:rPr>
            </w:pPr>
            <w:r w:rsidRPr="002A53B6">
              <w:rPr>
                <w:rFonts w:cs="Arial"/>
                <w:sz w:val="20"/>
                <w:lang w:val="en-AU"/>
              </w:rPr>
              <w:t>No change</w:t>
            </w:r>
          </w:p>
        </w:tc>
      </w:tr>
      <w:tr w:rsidR="00B059FD" w:rsidRPr="002A53B6" w14:paraId="06A132AE" w14:textId="77777777" w:rsidTr="007E4047">
        <w:trPr>
          <w:trHeight w:val="58"/>
        </w:trPr>
        <w:tc>
          <w:tcPr>
            <w:tcW w:w="1672" w:type="dxa"/>
            <w:shd w:val="clear" w:color="auto" w:fill="auto"/>
            <w:noWrap/>
          </w:tcPr>
          <w:p w14:paraId="2A5CA479" w14:textId="7121F8ED" w:rsidR="00B059FD" w:rsidRPr="00C531B4" w:rsidRDefault="00B059FD" w:rsidP="002D0222">
            <w:pPr>
              <w:pStyle w:val="SubmissionTable"/>
              <w:spacing w:before="0" w:after="0"/>
              <w:rPr>
                <w:rFonts w:cs="Arial"/>
                <w:sz w:val="20"/>
                <w:lang w:val="en-AU"/>
              </w:rPr>
            </w:pPr>
            <w:r w:rsidRPr="007A68BE">
              <w:rPr>
                <w:rFonts w:cs="Arial"/>
                <w:sz w:val="20"/>
                <w:lang w:val="en-AU"/>
              </w:rPr>
              <w:t>MK-047</w:t>
            </w:r>
          </w:p>
        </w:tc>
        <w:tc>
          <w:tcPr>
            <w:tcW w:w="5669" w:type="dxa"/>
            <w:shd w:val="clear" w:color="auto" w:fill="auto"/>
          </w:tcPr>
          <w:p w14:paraId="3F1E8CE0" w14:textId="45BF482F" w:rsidR="00B059FD" w:rsidRDefault="00B059FD" w:rsidP="002D0222">
            <w:pPr>
              <w:spacing w:after="0"/>
              <w:rPr>
                <w:shd w:val="clear" w:color="auto" w:fill="FFFFFF"/>
              </w:rPr>
            </w:pPr>
            <w:r w:rsidRPr="00B059FD">
              <w:rPr>
                <w:shd w:val="clear" w:color="auto" w:fill="FFFFFF"/>
              </w:rPr>
              <w:t xml:space="preserve">The submitter opposes the proposed amendments as they are not disclosed to residents. The webpage lists </w:t>
            </w:r>
            <w:r w:rsidR="00602AD7">
              <w:rPr>
                <w:shd w:val="clear" w:color="auto" w:fill="FFFFFF"/>
              </w:rPr>
              <w:t>three</w:t>
            </w:r>
            <w:r w:rsidRPr="00B059FD">
              <w:rPr>
                <w:shd w:val="clear" w:color="auto" w:fill="FFFFFF"/>
              </w:rPr>
              <w:t xml:space="preserve"> amendments to map tile 20, being the Commercial </w:t>
            </w:r>
            <w:proofErr w:type="gramStart"/>
            <w:r w:rsidRPr="00B059FD">
              <w:rPr>
                <w:shd w:val="clear" w:color="auto" w:fill="FFFFFF"/>
              </w:rPr>
              <w:t>character building</w:t>
            </w:r>
            <w:proofErr w:type="gramEnd"/>
            <w:r w:rsidRPr="00B059FD">
              <w:rPr>
                <w:shd w:val="clear" w:color="auto" w:fill="FFFFFF"/>
              </w:rPr>
              <w:t xml:space="preserve"> overlay, Significant landscape tree overlay and the Streetscape hierarchy overlay; however, no specifics of the amendments were provided and none were able to be obtained when contacting Council.</w:t>
            </w:r>
          </w:p>
        </w:tc>
        <w:tc>
          <w:tcPr>
            <w:tcW w:w="5559" w:type="dxa"/>
            <w:shd w:val="clear" w:color="auto" w:fill="auto"/>
          </w:tcPr>
          <w:p w14:paraId="6A0B5DB1" w14:textId="5A1DA49D" w:rsidR="00B059FD" w:rsidRDefault="00B059FD" w:rsidP="00B059FD">
            <w:pPr>
              <w:tabs>
                <w:tab w:val="left" w:pos="1859"/>
              </w:tabs>
              <w:spacing w:after="0"/>
              <w:rPr>
                <w:rFonts w:cs="Arial"/>
              </w:rPr>
            </w:pPr>
            <w:r>
              <w:rPr>
                <w:rFonts w:cs="Arial"/>
              </w:rPr>
              <w:t>The proposed amendment was made available via the project webpage from the commencement of public consultation. The project webpage provides</w:t>
            </w:r>
            <w:r w:rsidR="007E4047">
              <w:rPr>
                <w:rFonts w:cs="Arial"/>
              </w:rPr>
              <w:t>:</w:t>
            </w:r>
          </w:p>
          <w:p w14:paraId="5116356D" w14:textId="61CDE8E4" w:rsidR="00B059FD" w:rsidRPr="00B46CC3" w:rsidRDefault="007E4047" w:rsidP="00B059FD">
            <w:pPr>
              <w:pStyle w:val="SubmissionTable"/>
              <w:numPr>
                <w:ilvl w:val="0"/>
                <w:numId w:val="8"/>
              </w:numPr>
              <w:spacing w:before="0" w:after="0"/>
              <w:jc w:val="both"/>
              <w:rPr>
                <w:rFonts w:cs="Arial"/>
                <w:sz w:val="20"/>
                <w:lang w:val="en-AU"/>
              </w:rPr>
            </w:pPr>
            <w:r>
              <w:rPr>
                <w:rFonts w:cs="Arial"/>
                <w:sz w:val="20"/>
                <w:lang w:val="en-AU"/>
              </w:rPr>
              <w:t>a</w:t>
            </w:r>
            <w:r w:rsidR="00B059FD" w:rsidRPr="00B46CC3">
              <w:rPr>
                <w:rFonts w:cs="Arial"/>
                <w:sz w:val="20"/>
                <w:lang w:val="en-AU"/>
              </w:rPr>
              <w:t>n overview of the amendment changes</w:t>
            </w:r>
          </w:p>
          <w:p w14:paraId="5C0C868A" w14:textId="5E331D5E" w:rsidR="00B059FD" w:rsidRPr="005C21B0" w:rsidRDefault="007E4047" w:rsidP="00B059FD">
            <w:pPr>
              <w:pStyle w:val="SubmissionTable"/>
              <w:numPr>
                <w:ilvl w:val="0"/>
                <w:numId w:val="8"/>
              </w:numPr>
              <w:spacing w:before="0" w:after="0"/>
              <w:jc w:val="both"/>
              <w:rPr>
                <w:rFonts w:cs="Arial"/>
              </w:rPr>
            </w:pPr>
            <w:r>
              <w:rPr>
                <w:rFonts w:cs="Arial"/>
                <w:sz w:val="20"/>
                <w:lang w:val="en-AU"/>
              </w:rPr>
              <w:t>a</w:t>
            </w:r>
            <w:r w:rsidR="00B059FD" w:rsidRPr="00B46CC3">
              <w:rPr>
                <w:rFonts w:cs="Arial"/>
                <w:sz w:val="20"/>
                <w:lang w:val="en-AU"/>
              </w:rPr>
              <w:t xml:space="preserve"> link to City Plan online to view the detailed text changes</w:t>
            </w:r>
          </w:p>
          <w:p w14:paraId="714F8A8E" w14:textId="554A9682" w:rsidR="00B059FD" w:rsidRPr="00306973" w:rsidRDefault="007E4047" w:rsidP="00B059FD">
            <w:pPr>
              <w:pStyle w:val="SubmissionTable"/>
              <w:numPr>
                <w:ilvl w:val="0"/>
                <w:numId w:val="8"/>
              </w:numPr>
              <w:spacing w:before="0" w:after="0"/>
              <w:jc w:val="both"/>
              <w:rPr>
                <w:rFonts w:cs="Arial"/>
              </w:rPr>
            </w:pPr>
            <w:r>
              <w:rPr>
                <w:rFonts w:cs="Arial"/>
                <w:sz w:val="20"/>
                <w:lang w:val="en-AU"/>
              </w:rPr>
              <w:t>m</w:t>
            </w:r>
            <w:r w:rsidR="00B059FD">
              <w:rPr>
                <w:rFonts w:cs="Arial"/>
                <w:sz w:val="20"/>
                <w:lang w:val="en-AU"/>
              </w:rPr>
              <w:t xml:space="preserve">ap tiles (via </w:t>
            </w:r>
            <w:r w:rsidR="00166F49">
              <w:rPr>
                <w:rFonts w:cs="Arial"/>
                <w:sz w:val="20"/>
                <w:lang w:val="en-AU"/>
              </w:rPr>
              <w:t>G</w:t>
            </w:r>
            <w:r w:rsidR="00B059FD">
              <w:rPr>
                <w:rFonts w:cs="Arial"/>
                <w:sz w:val="20"/>
                <w:lang w:val="en-AU"/>
              </w:rPr>
              <w:t xml:space="preserve">oogle maps) that identify what mapping changes (zoning or overlay) may apply to each area. </w:t>
            </w:r>
          </w:p>
          <w:p w14:paraId="120F3BD4" w14:textId="5DF1FB66" w:rsidR="00970A3B" w:rsidRPr="005439AF" w:rsidRDefault="00970A3B" w:rsidP="00B059FD">
            <w:pPr>
              <w:spacing w:after="0"/>
              <w:rPr>
                <w:rFonts w:cs="Arial"/>
                <w:lang w:val="en-AU"/>
              </w:rPr>
            </w:pPr>
          </w:p>
        </w:tc>
        <w:tc>
          <w:tcPr>
            <w:tcW w:w="1559" w:type="dxa"/>
            <w:shd w:val="clear" w:color="auto" w:fill="auto"/>
          </w:tcPr>
          <w:p w14:paraId="6D76EE4F" w14:textId="0553F493" w:rsidR="00B059FD" w:rsidRPr="00B44079" w:rsidRDefault="00B059FD" w:rsidP="00447B35">
            <w:pPr>
              <w:pStyle w:val="SubmissionTable"/>
              <w:spacing w:before="0" w:after="0"/>
              <w:rPr>
                <w:rFonts w:cs="Arial"/>
                <w:sz w:val="20"/>
                <w:lang w:val="en-AU"/>
              </w:rPr>
            </w:pPr>
            <w:r w:rsidRPr="00B059FD">
              <w:rPr>
                <w:rFonts w:cs="Arial"/>
                <w:sz w:val="20"/>
                <w:lang w:val="en-AU"/>
              </w:rPr>
              <w:t>No change</w:t>
            </w:r>
          </w:p>
        </w:tc>
      </w:tr>
    </w:tbl>
    <w:p w14:paraId="595F2196" w14:textId="77777777" w:rsidR="00422A7F" w:rsidRDefault="00422A7F" w:rsidP="002D0222">
      <w:pPr>
        <w:pStyle w:val="Heading3"/>
        <w:spacing w:after="0"/>
        <w:rPr>
          <w:lang w:val="en-AU"/>
        </w:rPr>
      </w:pPr>
    </w:p>
    <w:p w14:paraId="6DBC7DF0" w14:textId="6E0F4692" w:rsidR="00100C7D" w:rsidRDefault="006472A1" w:rsidP="003239EB">
      <w:pPr>
        <w:pStyle w:val="Heading3"/>
        <w:keepLines/>
        <w:spacing w:after="0"/>
        <w:rPr>
          <w:lang w:val="en-AU"/>
        </w:rPr>
      </w:pPr>
      <w:bookmarkStart w:id="16" w:name="_Toc117175564"/>
      <w:r>
        <w:rPr>
          <w:lang w:val="en-AU"/>
        </w:rPr>
        <w:t>3.3</w:t>
      </w:r>
      <w:r>
        <w:rPr>
          <w:lang w:val="en-AU"/>
        </w:rPr>
        <w:tab/>
      </w:r>
      <w:r w:rsidR="00100C7D" w:rsidRPr="00621D5A">
        <w:rPr>
          <w:lang w:val="en-AU"/>
        </w:rPr>
        <w:t>Industry changes</w:t>
      </w:r>
      <w:bookmarkEnd w:id="16"/>
    </w:p>
    <w:p w14:paraId="5B1336BD" w14:textId="77777777" w:rsidR="003239EB" w:rsidRPr="003239EB" w:rsidRDefault="003239EB" w:rsidP="003239EB">
      <w:pPr>
        <w:keepNext/>
        <w:keepLines/>
        <w:spacing w:after="0"/>
        <w:rPr>
          <w:lang w:val="en-AU"/>
        </w:rPr>
      </w:pPr>
    </w:p>
    <w:p w14:paraId="03DB51B1" w14:textId="5AE70C8D" w:rsidR="00697439" w:rsidRPr="00693401" w:rsidRDefault="008D1A35" w:rsidP="00BD3F4B">
      <w:pPr>
        <w:pStyle w:val="Heading5"/>
        <w:rPr>
          <w:lang w:val="en-AU"/>
        </w:rPr>
      </w:pPr>
      <w:r>
        <w:rPr>
          <w:lang w:val="en-AU"/>
        </w:rPr>
        <w:t xml:space="preserve">3.3.1 </w:t>
      </w:r>
      <w:r w:rsidR="00697439" w:rsidRPr="00693401">
        <w:rPr>
          <w:lang w:val="en-AU"/>
        </w:rPr>
        <w:t>Industry changes</w:t>
      </w:r>
      <w:r w:rsidR="0096110B" w:rsidRPr="00693401">
        <w:rPr>
          <w:lang w:val="en-AU"/>
        </w:rPr>
        <w:t xml:space="preserve"> </w:t>
      </w:r>
      <w:r w:rsidR="00606E99" w:rsidRPr="00693401">
        <w:rPr>
          <w:lang w:val="en-AU"/>
        </w:rPr>
        <w:t>–</w:t>
      </w:r>
      <w:r w:rsidR="0096110B" w:rsidRPr="00693401">
        <w:rPr>
          <w:lang w:val="en-AU"/>
        </w:rPr>
        <w:t xml:space="preserve"> </w:t>
      </w:r>
      <w:r w:rsidR="00606E99" w:rsidRPr="007E4047">
        <w:rPr>
          <w:lang w:val="en-AU"/>
        </w:rPr>
        <w:t>Brisbane Industrial Strategy</w:t>
      </w:r>
      <w:r w:rsidR="00466416" w:rsidRPr="007E4047">
        <w:rPr>
          <w:lang w:val="en-AU"/>
        </w:rPr>
        <w:t xml:space="preserve"> 2019</w:t>
      </w:r>
    </w:p>
    <w:p w14:paraId="48CE4471" w14:textId="77777777" w:rsidR="00A748BF" w:rsidRDefault="00A748BF" w:rsidP="007E4047">
      <w:pPr>
        <w:keepNext/>
        <w:keepLines/>
        <w:spacing w:after="0"/>
        <w:rPr>
          <w:lang w:val="en-AU"/>
        </w:rPr>
      </w:pPr>
    </w:p>
    <w:p w14:paraId="00E94653" w14:textId="58B8E8F8" w:rsidR="003E6E29" w:rsidRDefault="00BA393F" w:rsidP="007E4047">
      <w:pPr>
        <w:keepNext/>
        <w:keepLines/>
        <w:spacing w:after="0"/>
        <w:rPr>
          <w:lang w:val="en-AU"/>
        </w:rPr>
      </w:pPr>
      <w:r>
        <w:rPr>
          <w:lang w:val="en-AU"/>
        </w:rPr>
        <w:t>The</w:t>
      </w:r>
      <w:r w:rsidR="00212794">
        <w:rPr>
          <w:lang w:val="en-AU"/>
        </w:rPr>
        <w:t xml:space="preserve"> </w:t>
      </w:r>
      <w:r w:rsidR="00756610">
        <w:rPr>
          <w:lang w:val="en-AU"/>
        </w:rPr>
        <w:t xml:space="preserve">following </w:t>
      </w:r>
      <w:r w:rsidR="008809D6">
        <w:rPr>
          <w:lang w:val="en-AU"/>
        </w:rPr>
        <w:t>submission</w:t>
      </w:r>
      <w:r w:rsidR="00756610">
        <w:rPr>
          <w:lang w:val="en-AU"/>
        </w:rPr>
        <w:t xml:space="preserve"> issues</w:t>
      </w:r>
      <w:r w:rsidR="00693401">
        <w:rPr>
          <w:lang w:val="en-AU"/>
        </w:rPr>
        <w:t xml:space="preserve"> and</w:t>
      </w:r>
      <w:r w:rsidR="008809D6">
        <w:rPr>
          <w:lang w:val="en-AU"/>
        </w:rPr>
        <w:t xml:space="preserve"> responses </w:t>
      </w:r>
      <w:r w:rsidR="00756610">
        <w:rPr>
          <w:lang w:val="en-AU"/>
        </w:rPr>
        <w:t>are organised</w:t>
      </w:r>
      <w:r w:rsidR="008809D6">
        <w:rPr>
          <w:lang w:val="en-AU"/>
        </w:rPr>
        <w:t xml:space="preserve"> according to the </w:t>
      </w:r>
      <w:r w:rsidR="009C082E" w:rsidRPr="00913B97">
        <w:rPr>
          <w:i/>
          <w:iCs/>
          <w:lang w:val="en-AU"/>
        </w:rPr>
        <w:t>B</w:t>
      </w:r>
      <w:r w:rsidR="00756610" w:rsidRPr="00913B97">
        <w:rPr>
          <w:i/>
          <w:iCs/>
          <w:lang w:val="en-AU"/>
        </w:rPr>
        <w:t xml:space="preserve">risbane </w:t>
      </w:r>
      <w:r w:rsidR="009C082E" w:rsidRPr="00913B97">
        <w:rPr>
          <w:i/>
          <w:iCs/>
          <w:lang w:val="en-AU"/>
        </w:rPr>
        <w:t>I</w:t>
      </w:r>
      <w:r w:rsidR="00756610" w:rsidRPr="00913B97">
        <w:rPr>
          <w:i/>
          <w:iCs/>
          <w:lang w:val="en-AU"/>
        </w:rPr>
        <w:t xml:space="preserve">ndustrial </w:t>
      </w:r>
      <w:r w:rsidR="009C082E" w:rsidRPr="00913B97">
        <w:rPr>
          <w:i/>
          <w:iCs/>
          <w:lang w:val="en-AU"/>
        </w:rPr>
        <w:t>S</w:t>
      </w:r>
      <w:r w:rsidR="00756610" w:rsidRPr="00913B97">
        <w:rPr>
          <w:i/>
          <w:iCs/>
          <w:lang w:val="en-AU"/>
        </w:rPr>
        <w:t>trategy 2019</w:t>
      </w:r>
      <w:r w:rsidR="009C082E">
        <w:rPr>
          <w:lang w:val="en-AU"/>
        </w:rPr>
        <w:t xml:space="preserve"> </w:t>
      </w:r>
      <w:r w:rsidR="008809D6">
        <w:rPr>
          <w:lang w:val="en-AU"/>
        </w:rPr>
        <w:t xml:space="preserve">Action items and </w:t>
      </w:r>
      <w:r w:rsidR="00AF4AA1">
        <w:rPr>
          <w:lang w:val="en-AU"/>
        </w:rPr>
        <w:t>amendments</w:t>
      </w:r>
      <w:r w:rsidR="00693401">
        <w:rPr>
          <w:lang w:val="en-AU"/>
        </w:rPr>
        <w:t xml:space="preserve"> </w:t>
      </w:r>
      <w:r w:rsidR="00AF4AA1">
        <w:rPr>
          <w:lang w:val="en-AU"/>
        </w:rPr>
        <w:t>to</w:t>
      </w:r>
      <w:r w:rsidR="00693401">
        <w:rPr>
          <w:lang w:val="en-AU"/>
        </w:rPr>
        <w:t xml:space="preserve"> City Plan</w:t>
      </w:r>
      <w:r w:rsidR="008809D6">
        <w:rPr>
          <w:lang w:val="en-AU"/>
        </w:rPr>
        <w:t xml:space="preserve">. </w:t>
      </w:r>
      <w:r w:rsidR="00BE0111">
        <w:rPr>
          <w:lang w:val="en-AU"/>
        </w:rPr>
        <w:t xml:space="preserve"> </w:t>
      </w:r>
    </w:p>
    <w:p w14:paraId="4A346FFC" w14:textId="77777777" w:rsidR="00A748BF" w:rsidRPr="003E6E29" w:rsidRDefault="00A748BF" w:rsidP="002D0222">
      <w:pPr>
        <w:spacing w:after="0"/>
        <w:rPr>
          <w:lang w:val="en-AU"/>
        </w:rPr>
      </w:pPr>
    </w:p>
    <w:tbl>
      <w:tblPr>
        <w:tblStyle w:val="TableGrid"/>
        <w:tblW w:w="4964" w:type="pct"/>
        <w:tblLook w:val="04A0" w:firstRow="1" w:lastRow="0" w:firstColumn="1" w:lastColumn="0" w:noHBand="0" w:noVBand="1"/>
      </w:tblPr>
      <w:tblGrid>
        <w:gridCol w:w="1697"/>
        <w:gridCol w:w="5574"/>
        <w:gridCol w:w="5623"/>
        <w:gridCol w:w="1561"/>
      </w:tblGrid>
      <w:tr w:rsidR="00D84074" w14:paraId="0BFC64F6" w14:textId="77777777" w:rsidTr="004419FE">
        <w:trPr>
          <w:tblHeader/>
        </w:trPr>
        <w:tc>
          <w:tcPr>
            <w:tcW w:w="587" w:type="pct"/>
            <w:shd w:val="clear" w:color="auto" w:fill="D9D9D9" w:themeFill="background1" w:themeFillShade="D9"/>
          </w:tcPr>
          <w:p w14:paraId="11808F21" w14:textId="40F51959" w:rsidR="00D84074" w:rsidRPr="00D84074" w:rsidRDefault="00D84074" w:rsidP="002D0222">
            <w:pPr>
              <w:spacing w:after="0"/>
              <w:rPr>
                <w:b/>
                <w:bCs/>
              </w:rPr>
            </w:pPr>
            <w:r>
              <w:rPr>
                <w:b/>
                <w:bCs/>
              </w:rPr>
              <w:lastRenderedPageBreak/>
              <w:t>Submission Reference</w:t>
            </w:r>
          </w:p>
        </w:tc>
        <w:tc>
          <w:tcPr>
            <w:tcW w:w="1928" w:type="pct"/>
            <w:shd w:val="clear" w:color="auto" w:fill="D9D9D9" w:themeFill="background1" w:themeFillShade="D9"/>
          </w:tcPr>
          <w:p w14:paraId="0BFF9B77" w14:textId="2BBBD318" w:rsidR="00D84074" w:rsidRPr="00D84074" w:rsidRDefault="00D84074" w:rsidP="002D0222">
            <w:pPr>
              <w:spacing w:after="0"/>
              <w:rPr>
                <w:b/>
                <w:bCs/>
              </w:rPr>
            </w:pPr>
            <w:r w:rsidRPr="00D84074">
              <w:rPr>
                <w:rFonts w:cs="Arial"/>
                <w:b/>
                <w:bCs/>
                <w:lang w:val="en-AU"/>
              </w:rPr>
              <w:t>Submission Summary</w:t>
            </w:r>
          </w:p>
        </w:tc>
        <w:tc>
          <w:tcPr>
            <w:tcW w:w="1945" w:type="pct"/>
            <w:shd w:val="clear" w:color="auto" w:fill="D9D9D9" w:themeFill="background1" w:themeFillShade="D9"/>
          </w:tcPr>
          <w:p w14:paraId="67FBD9BA" w14:textId="60CA561C" w:rsidR="00D84074" w:rsidRPr="00D84074" w:rsidRDefault="00D84074" w:rsidP="002D0222">
            <w:pPr>
              <w:spacing w:after="0"/>
              <w:rPr>
                <w:b/>
                <w:bCs/>
              </w:rPr>
            </w:pPr>
            <w:r w:rsidRPr="00D84074">
              <w:rPr>
                <w:rFonts w:cs="Arial"/>
                <w:b/>
                <w:bCs/>
                <w:lang w:val="en-AU"/>
              </w:rPr>
              <w:t>Response</w:t>
            </w:r>
          </w:p>
        </w:tc>
        <w:tc>
          <w:tcPr>
            <w:tcW w:w="540" w:type="pct"/>
            <w:shd w:val="clear" w:color="auto" w:fill="D9D9D9" w:themeFill="background1" w:themeFillShade="D9"/>
          </w:tcPr>
          <w:p w14:paraId="406F6181" w14:textId="088E70C3" w:rsidR="00D84074" w:rsidRPr="00D84074" w:rsidRDefault="00D84074" w:rsidP="002D0222">
            <w:pPr>
              <w:spacing w:after="0"/>
              <w:rPr>
                <w:b/>
                <w:bCs/>
              </w:rPr>
            </w:pPr>
            <w:r w:rsidRPr="00D84074">
              <w:rPr>
                <w:rFonts w:cs="Arial"/>
                <w:b/>
                <w:bCs/>
                <w:lang w:val="en-AU"/>
              </w:rPr>
              <w:t>Change required</w:t>
            </w:r>
          </w:p>
        </w:tc>
      </w:tr>
      <w:tr w:rsidR="00B129BB" w14:paraId="68942183" w14:textId="77777777" w:rsidTr="00D84074">
        <w:tc>
          <w:tcPr>
            <w:tcW w:w="5000" w:type="pct"/>
            <w:gridSpan w:val="4"/>
            <w:shd w:val="clear" w:color="auto" w:fill="BFBFBF" w:themeFill="background1" w:themeFillShade="BF"/>
          </w:tcPr>
          <w:p w14:paraId="3A6FA831" w14:textId="5FECB577" w:rsidR="00F96F57" w:rsidRPr="00EC4566" w:rsidRDefault="00B129BB" w:rsidP="00C04B00">
            <w:pPr>
              <w:spacing w:after="0"/>
              <w:jc w:val="both"/>
              <w:rPr>
                <w:b/>
                <w:bCs/>
                <w:i/>
                <w:iCs/>
              </w:rPr>
            </w:pPr>
            <w:r w:rsidRPr="00EC4566">
              <w:rPr>
                <w:b/>
                <w:bCs/>
                <w:i/>
                <w:iCs/>
              </w:rPr>
              <w:t>Action 1 - Support large</w:t>
            </w:r>
            <w:r w:rsidRPr="00EC4566">
              <w:rPr>
                <w:rFonts w:ascii="Cambria Math" w:hAnsi="Cambria Math" w:cs="Cambria Math"/>
                <w:b/>
                <w:bCs/>
                <w:i/>
                <w:iCs/>
              </w:rPr>
              <w:t>‑</w:t>
            </w:r>
            <w:r w:rsidRPr="00EC4566">
              <w:rPr>
                <w:b/>
                <w:bCs/>
                <w:i/>
                <w:iCs/>
              </w:rPr>
              <w:t>format, high</w:t>
            </w:r>
            <w:r w:rsidRPr="00EC4566">
              <w:rPr>
                <w:rFonts w:ascii="Cambria Math" w:hAnsi="Cambria Math" w:cs="Cambria Math"/>
                <w:b/>
                <w:bCs/>
                <w:i/>
                <w:iCs/>
              </w:rPr>
              <w:t>‑</w:t>
            </w:r>
            <w:r w:rsidRPr="00EC4566">
              <w:rPr>
                <w:b/>
                <w:bCs/>
                <w:i/>
                <w:iCs/>
              </w:rPr>
              <w:t>impact logistics/distribution uses, where they meet appropriate thresholds in the General industry C zone precinct within the ATC and SWIG MIAs.</w:t>
            </w:r>
          </w:p>
        </w:tc>
      </w:tr>
      <w:tr w:rsidR="008D475B" w14:paraId="04005A0E" w14:textId="77777777" w:rsidTr="004419FE">
        <w:trPr>
          <w:trHeight w:val="1695"/>
        </w:trPr>
        <w:tc>
          <w:tcPr>
            <w:tcW w:w="587" w:type="pct"/>
          </w:tcPr>
          <w:p w14:paraId="52594A8E" w14:textId="009BB006" w:rsidR="00820EED" w:rsidRDefault="008D475B" w:rsidP="002D0222">
            <w:pPr>
              <w:spacing w:after="0"/>
            </w:pPr>
            <w:r>
              <w:t>MK-016</w:t>
            </w:r>
          </w:p>
          <w:p w14:paraId="54BB3503" w14:textId="2BEBE6E2" w:rsidR="00820EED" w:rsidRDefault="008D475B" w:rsidP="002D0222">
            <w:pPr>
              <w:spacing w:after="0"/>
            </w:pPr>
            <w:r>
              <w:t>MK-020</w:t>
            </w:r>
          </w:p>
          <w:p w14:paraId="348F656A" w14:textId="2684A0D1" w:rsidR="00820EED" w:rsidRDefault="008D475B" w:rsidP="002D0222">
            <w:pPr>
              <w:spacing w:after="0"/>
            </w:pPr>
            <w:r>
              <w:t>MK-031</w:t>
            </w:r>
          </w:p>
          <w:p w14:paraId="31DC8C12" w14:textId="0B6FEE37" w:rsidR="00820EED" w:rsidRDefault="008D475B" w:rsidP="002D0222">
            <w:pPr>
              <w:spacing w:after="0"/>
            </w:pPr>
            <w:r>
              <w:t>MK-037</w:t>
            </w:r>
          </w:p>
          <w:p w14:paraId="2AB072B1" w14:textId="3BBED4B2" w:rsidR="00820EED" w:rsidRDefault="008D475B" w:rsidP="002D0222">
            <w:pPr>
              <w:spacing w:after="0"/>
            </w:pPr>
            <w:r>
              <w:t>MK-038</w:t>
            </w:r>
          </w:p>
          <w:p w14:paraId="221DD4C2" w14:textId="4D06108E" w:rsidR="00820EED" w:rsidRDefault="008D475B" w:rsidP="002D0222">
            <w:pPr>
              <w:spacing w:after="0"/>
            </w:pPr>
            <w:r>
              <w:t>MK-039</w:t>
            </w:r>
          </w:p>
          <w:p w14:paraId="2C53F039" w14:textId="68F64B8C" w:rsidR="00820EED" w:rsidRDefault="008D475B" w:rsidP="002D0222">
            <w:pPr>
              <w:spacing w:after="0"/>
            </w:pPr>
            <w:r>
              <w:t>MK-041</w:t>
            </w:r>
          </w:p>
          <w:p w14:paraId="706443BE" w14:textId="318C75F9" w:rsidR="00820EED" w:rsidRDefault="008D475B" w:rsidP="002D0222">
            <w:pPr>
              <w:spacing w:after="0"/>
            </w:pPr>
            <w:r>
              <w:t>MK-053</w:t>
            </w:r>
          </w:p>
          <w:p w14:paraId="15D683E5" w14:textId="2B3376E0" w:rsidR="008D475B" w:rsidRDefault="008D475B" w:rsidP="002D0222">
            <w:pPr>
              <w:spacing w:after="0"/>
            </w:pPr>
            <w:r>
              <w:t>MK-054</w:t>
            </w:r>
          </w:p>
        </w:tc>
        <w:tc>
          <w:tcPr>
            <w:tcW w:w="1928" w:type="pct"/>
          </w:tcPr>
          <w:p w14:paraId="6AC2A23D" w14:textId="5B0F54CB" w:rsidR="008D475B" w:rsidRDefault="0039027D" w:rsidP="002D0222">
            <w:pPr>
              <w:spacing w:after="0"/>
              <w:rPr>
                <w:rFonts w:eastAsia="SimSun"/>
                <w:lang w:eastAsia="ja-JP"/>
              </w:rPr>
            </w:pPr>
            <w:r>
              <w:rPr>
                <w:rFonts w:eastAsia="SimSun"/>
                <w:lang w:eastAsia="ja-JP"/>
              </w:rPr>
              <w:t>The s</w:t>
            </w:r>
            <w:r w:rsidR="008D475B" w:rsidRPr="006E6AE4">
              <w:rPr>
                <w:rFonts w:eastAsia="SimSun"/>
                <w:lang w:eastAsia="ja-JP"/>
              </w:rPr>
              <w:t>ubmitter</w:t>
            </w:r>
            <w:r w:rsidR="008D475B">
              <w:rPr>
                <w:rFonts w:eastAsia="SimSun"/>
                <w:lang w:eastAsia="ja-JP"/>
              </w:rPr>
              <w:t xml:space="preserve">s </w:t>
            </w:r>
            <w:r w:rsidR="008D475B">
              <w:t>recommend</w:t>
            </w:r>
            <w:r w:rsidR="00602AD7">
              <w:t xml:space="preserve"> that</w:t>
            </w:r>
            <w:r w:rsidR="00E03C6E">
              <w:t xml:space="preserve"> the proposed </w:t>
            </w:r>
            <w:r w:rsidR="00756610">
              <w:t>gross floor area (</w:t>
            </w:r>
            <w:r w:rsidR="00783FE6">
              <w:t>GFA</w:t>
            </w:r>
            <w:r w:rsidR="00756610">
              <w:t>)</w:t>
            </w:r>
            <w:r w:rsidR="00783FE6">
              <w:t xml:space="preserve"> </w:t>
            </w:r>
            <w:r w:rsidR="00E03C6E">
              <w:t>threshold for</w:t>
            </w:r>
            <w:r w:rsidR="008D475B">
              <w:t xml:space="preserve"> </w:t>
            </w:r>
            <w:r w:rsidR="005F48A1">
              <w:t>d</w:t>
            </w:r>
            <w:r w:rsidR="008D475B">
              <w:t xml:space="preserve">evelopment for a </w:t>
            </w:r>
            <w:r w:rsidR="00BC2BC9">
              <w:t>w</w:t>
            </w:r>
            <w:r w:rsidR="008D475B">
              <w:t>arehouse in the General industry C</w:t>
            </w:r>
            <w:r w:rsidR="00187119">
              <w:t xml:space="preserve"> (GIC)</w:t>
            </w:r>
            <w:r w:rsidR="008D475B">
              <w:t xml:space="preserve"> zone precinct be reduced or removed </w:t>
            </w:r>
            <w:r w:rsidR="0032046E">
              <w:t>for reasons including</w:t>
            </w:r>
            <w:r w:rsidR="007E4047">
              <w:t>.</w:t>
            </w:r>
          </w:p>
          <w:p w14:paraId="1A0283DD" w14:textId="39D9738D" w:rsidR="008D475B" w:rsidRDefault="008D475B" w:rsidP="002D0222">
            <w:pPr>
              <w:pStyle w:val="ListParagraph"/>
              <w:numPr>
                <w:ilvl w:val="0"/>
                <w:numId w:val="15"/>
              </w:numPr>
              <w:spacing w:after="0"/>
              <w:rPr>
                <w:rFonts w:eastAsia="SimSun"/>
                <w:lang w:eastAsia="ja-JP"/>
              </w:rPr>
            </w:pPr>
            <w:r>
              <w:rPr>
                <w:rFonts w:eastAsia="SimSun"/>
                <w:lang w:eastAsia="ja-JP"/>
              </w:rPr>
              <w:t>T</w:t>
            </w:r>
            <w:r w:rsidRPr="00150C43">
              <w:rPr>
                <w:rFonts w:eastAsia="SimSun"/>
                <w:lang w:eastAsia="ja-JP"/>
              </w:rPr>
              <w:t xml:space="preserve">he proposed threshold </w:t>
            </w:r>
            <w:r>
              <w:rPr>
                <w:rFonts w:eastAsia="SimSun"/>
                <w:lang w:eastAsia="ja-JP"/>
              </w:rPr>
              <w:t xml:space="preserve">hinders renewal, flexibility of use </w:t>
            </w:r>
            <w:r w:rsidRPr="00150C43">
              <w:rPr>
                <w:rFonts w:eastAsia="SimSun"/>
                <w:lang w:eastAsia="ja-JP"/>
              </w:rPr>
              <w:t xml:space="preserve">and </w:t>
            </w:r>
            <w:proofErr w:type="spellStart"/>
            <w:r w:rsidRPr="00150C43">
              <w:rPr>
                <w:rFonts w:eastAsia="SimSun"/>
                <w:lang w:eastAsia="ja-JP"/>
              </w:rPr>
              <w:t>favours</w:t>
            </w:r>
            <w:proofErr w:type="spellEnd"/>
            <w:r w:rsidRPr="00150C43">
              <w:rPr>
                <w:rFonts w:eastAsia="SimSun"/>
                <w:lang w:eastAsia="ja-JP"/>
              </w:rPr>
              <w:t xml:space="preserve"> large format warehouse development. </w:t>
            </w:r>
          </w:p>
          <w:p w14:paraId="3C1743CC" w14:textId="37551640" w:rsidR="008D475B" w:rsidRDefault="0032046E" w:rsidP="002D0222">
            <w:pPr>
              <w:pStyle w:val="ListParagraph"/>
              <w:numPr>
                <w:ilvl w:val="0"/>
                <w:numId w:val="15"/>
              </w:numPr>
              <w:spacing w:after="0"/>
              <w:rPr>
                <w:rFonts w:eastAsia="SimSun"/>
                <w:lang w:eastAsia="ja-JP"/>
              </w:rPr>
            </w:pPr>
            <w:r>
              <w:t>The minimum GFA of 15,000</w:t>
            </w:r>
            <w:r w:rsidR="00602AD7">
              <w:t> </w:t>
            </w:r>
            <w:r>
              <w:t>m</w:t>
            </w:r>
            <w:r w:rsidRPr="0036373F">
              <w:rPr>
                <w:vertAlign w:val="superscript"/>
              </w:rPr>
              <w:t>2</w:t>
            </w:r>
            <w:r>
              <w:t xml:space="preserve"> (per tenancy</w:t>
            </w:r>
            <w:r w:rsidR="005A2F7F">
              <w:t>)</w:t>
            </w:r>
            <w:r w:rsidR="00F20C71">
              <w:t xml:space="preserve"> </w:t>
            </w:r>
            <w:r w:rsidR="008D475B">
              <w:rPr>
                <w:rFonts w:eastAsia="SimSun"/>
                <w:lang w:eastAsia="ja-JP"/>
              </w:rPr>
              <w:t xml:space="preserve">caters for a small number of very large industrial uses and there is a need for </w:t>
            </w:r>
            <w:r w:rsidR="008D475B" w:rsidRPr="0036373F">
              <w:rPr>
                <w:rFonts w:eastAsia="SimSun"/>
                <w:lang w:eastAsia="ja-JP"/>
              </w:rPr>
              <w:t xml:space="preserve">smaller </w:t>
            </w:r>
            <w:r w:rsidR="008D475B" w:rsidRPr="00F96D60">
              <w:rPr>
                <w:rFonts w:eastAsia="SimSun"/>
                <w:lang w:eastAsia="ja-JP"/>
              </w:rPr>
              <w:t>warehouse uses to provide for 'last mile logistics' uses.</w:t>
            </w:r>
          </w:p>
          <w:p w14:paraId="34554F93" w14:textId="434A482C" w:rsidR="008D475B" w:rsidRDefault="008D475B" w:rsidP="002D0222">
            <w:pPr>
              <w:pStyle w:val="ListParagraph"/>
              <w:numPr>
                <w:ilvl w:val="0"/>
                <w:numId w:val="15"/>
              </w:numPr>
              <w:spacing w:after="0"/>
              <w:rPr>
                <w:rFonts w:eastAsia="SimSun"/>
                <w:lang w:eastAsia="ja-JP"/>
              </w:rPr>
            </w:pPr>
            <w:r w:rsidRPr="00F96D60">
              <w:rPr>
                <w:rFonts w:eastAsia="SimSun"/>
                <w:lang w:eastAsia="ja-JP"/>
              </w:rPr>
              <w:t>A reduction in the minimum tenancy size will allow businesses to establish warehouses in the G</w:t>
            </w:r>
            <w:r w:rsidR="00473CDD">
              <w:rPr>
                <w:rFonts w:eastAsia="SimSun"/>
                <w:lang w:eastAsia="ja-JP"/>
              </w:rPr>
              <w:t>I</w:t>
            </w:r>
            <w:r w:rsidRPr="00F96D60">
              <w:rPr>
                <w:rFonts w:eastAsia="SimSun"/>
                <w:lang w:eastAsia="ja-JP"/>
              </w:rPr>
              <w:t>C zone precinct and allow for growth of the business and future expansions on the same site.</w:t>
            </w:r>
            <w:r>
              <w:rPr>
                <w:rFonts w:eastAsia="SimSun"/>
                <w:lang w:eastAsia="ja-JP"/>
              </w:rPr>
              <w:t xml:space="preserve"> </w:t>
            </w:r>
          </w:p>
          <w:p w14:paraId="4783773F" w14:textId="47DA81F5" w:rsidR="008D475B" w:rsidRDefault="008D475B" w:rsidP="002D0222">
            <w:pPr>
              <w:pStyle w:val="ListParagraph"/>
              <w:numPr>
                <w:ilvl w:val="0"/>
                <w:numId w:val="15"/>
              </w:numPr>
              <w:spacing w:after="0"/>
              <w:rPr>
                <w:rFonts w:eastAsia="SimSun"/>
                <w:lang w:eastAsia="ja-JP"/>
              </w:rPr>
            </w:pPr>
            <w:r w:rsidRPr="00F96D60">
              <w:rPr>
                <w:rFonts w:eastAsia="SimSun"/>
                <w:lang w:eastAsia="ja-JP"/>
              </w:rPr>
              <w:t>It is more appropriate to limit the impacts of a warehouse rather than the size of the building.</w:t>
            </w:r>
          </w:p>
          <w:p w14:paraId="044BBDD4" w14:textId="5643651F" w:rsidR="008D475B" w:rsidRDefault="008D475B" w:rsidP="002D0222">
            <w:pPr>
              <w:pStyle w:val="ListParagraph"/>
              <w:numPr>
                <w:ilvl w:val="0"/>
                <w:numId w:val="15"/>
              </w:numPr>
              <w:spacing w:after="0"/>
              <w:rPr>
                <w:rFonts w:eastAsia="SimSun"/>
                <w:lang w:eastAsia="ja-JP"/>
              </w:rPr>
            </w:pPr>
            <w:r w:rsidRPr="00F96D60">
              <w:rPr>
                <w:rFonts w:eastAsia="SimSun"/>
                <w:lang w:eastAsia="ja-JP"/>
              </w:rPr>
              <w:t>There are few sites in Brisbane where i</w:t>
            </w:r>
            <w:r>
              <w:rPr>
                <w:rFonts w:eastAsia="SimSun"/>
                <w:lang w:eastAsia="ja-JP"/>
              </w:rPr>
              <w:t>t</w:t>
            </w:r>
            <w:r w:rsidRPr="00F96D60">
              <w:rPr>
                <w:rFonts w:eastAsia="SimSun"/>
                <w:lang w:eastAsia="ja-JP"/>
              </w:rPr>
              <w:t xml:space="preserve"> is feasible to develop a single building and tenancy over 15,000</w:t>
            </w:r>
            <w:r w:rsidR="00602AD7">
              <w:rPr>
                <w:rFonts w:eastAsia="SimSun"/>
                <w:lang w:eastAsia="ja-JP"/>
              </w:rPr>
              <w:t> </w:t>
            </w:r>
            <w:r w:rsidRPr="00F96D60">
              <w:rPr>
                <w:rFonts w:eastAsia="SimSun"/>
                <w:lang w:eastAsia="ja-JP"/>
              </w:rPr>
              <w:t>m</w:t>
            </w:r>
            <w:r w:rsidRPr="0036373F">
              <w:rPr>
                <w:rFonts w:eastAsia="SimSun"/>
                <w:vertAlign w:val="superscript"/>
                <w:lang w:eastAsia="ja-JP"/>
              </w:rPr>
              <w:t>2</w:t>
            </w:r>
            <w:r w:rsidRPr="00F96D60">
              <w:rPr>
                <w:rFonts w:eastAsia="SimSun"/>
                <w:lang w:eastAsia="ja-JP"/>
              </w:rPr>
              <w:t xml:space="preserve"> due to business demand, land availability and costs. </w:t>
            </w:r>
          </w:p>
          <w:p w14:paraId="24B87FC1" w14:textId="68BE2B74" w:rsidR="008D475B" w:rsidRDefault="008D475B" w:rsidP="002D0222">
            <w:pPr>
              <w:pStyle w:val="ListParagraph"/>
              <w:numPr>
                <w:ilvl w:val="0"/>
                <w:numId w:val="15"/>
              </w:numPr>
              <w:spacing w:after="0"/>
              <w:rPr>
                <w:rFonts w:eastAsia="SimSun"/>
                <w:lang w:eastAsia="ja-JP"/>
              </w:rPr>
            </w:pPr>
            <w:r w:rsidRPr="00F96D60">
              <w:rPr>
                <w:rFonts w:eastAsia="SimSun"/>
                <w:lang w:eastAsia="ja-JP"/>
              </w:rPr>
              <w:t>Logistics and distribution companies demand smaller flexible tenancy spaces due to technological advancements allowing for greater intensity of floor space use, reduced operating costs and opportunity to expand within an existing building.</w:t>
            </w:r>
          </w:p>
          <w:p w14:paraId="7A0D45C2" w14:textId="6F4F8747" w:rsidR="008D475B" w:rsidRDefault="00784C24" w:rsidP="002D0222">
            <w:pPr>
              <w:pStyle w:val="ListParagraph"/>
              <w:numPr>
                <w:ilvl w:val="0"/>
                <w:numId w:val="15"/>
              </w:numPr>
              <w:spacing w:after="0"/>
              <w:rPr>
                <w:rFonts w:eastAsia="SimSun"/>
                <w:lang w:eastAsia="ja-JP"/>
              </w:rPr>
            </w:pPr>
            <w:r>
              <w:rPr>
                <w:rFonts w:eastAsia="SimSun"/>
                <w:lang w:eastAsia="ja-JP"/>
              </w:rPr>
              <w:t>A</w:t>
            </w:r>
            <w:r w:rsidR="008D475B" w:rsidRPr="00150C43">
              <w:rPr>
                <w:rFonts w:eastAsia="SimSun"/>
                <w:lang w:eastAsia="ja-JP"/>
              </w:rPr>
              <w:t xml:space="preserve"> contemporary and flexible policy framework</w:t>
            </w:r>
            <w:r w:rsidR="004D6537">
              <w:rPr>
                <w:rFonts w:eastAsia="SimSun"/>
                <w:lang w:eastAsia="ja-JP"/>
              </w:rPr>
              <w:t xml:space="preserve"> </w:t>
            </w:r>
            <w:r w:rsidR="008D475B" w:rsidRPr="00150C43">
              <w:rPr>
                <w:rFonts w:eastAsia="SimSun"/>
                <w:lang w:eastAsia="ja-JP"/>
              </w:rPr>
              <w:t>that keeps pace with the rapidly evolving industrial sector</w:t>
            </w:r>
            <w:r w:rsidR="005C127A">
              <w:rPr>
                <w:rFonts w:eastAsia="SimSun"/>
                <w:lang w:eastAsia="ja-JP"/>
              </w:rPr>
              <w:t xml:space="preserve"> is needed</w:t>
            </w:r>
            <w:r w:rsidR="008D475B">
              <w:rPr>
                <w:rFonts w:eastAsia="SimSun"/>
                <w:lang w:eastAsia="ja-JP"/>
              </w:rPr>
              <w:t>.</w:t>
            </w:r>
          </w:p>
          <w:p w14:paraId="44064D90" w14:textId="164CA889" w:rsidR="00F83C88" w:rsidRPr="00F20C71" w:rsidRDefault="00F83C88" w:rsidP="00F20C71">
            <w:pPr>
              <w:pStyle w:val="ListParagraph"/>
              <w:numPr>
                <w:ilvl w:val="0"/>
                <w:numId w:val="30"/>
              </w:numPr>
              <w:tabs>
                <w:tab w:val="left" w:pos="1125"/>
              </w:tabs>
              <w:spacing w:after="0"/>
            </w:pPr>
            <w:r>
              <w:t xml:space="preserve">Low impact and warehousing </w:t>
            </w:r>
            <w:r w:rsidR="00784C24">
              <w:t xml:space="preserve">uses </w:t>
            </w:r>
            <w:r>
              <w:t>should be accepted or code assessable development in all industrial zoned land.</w:t>
            </w:r>
          </w:p>
          <w:p w14:paraId="15DF32E7" w14:textId="77777777" w:rsidR="00F83C88" w:rsidRDefault="00F83C88" w:rsidP="002D0222">
            <w:pPr>
              <w:spacing w:after="0"/>
              <w:rPr>
                <w:rFonts w:eastAsia="SimSun"/>
                <w:lang w:eastAsia="ja-JP"/>
              </w:rPr>
            </w:pPr>
          </w:p>
          <w:p w14:paraId="635B0FB3" w14:textId="59059BF6" w:rsidR="008D475B" w:rsidRDefault="00A2306D" w:rsidP="002D0222">
            <w:pPr>
              <w:spacing w:after="0"/>
              <w:rPr>
                <w:rFonts w:eastAsia="SimSun"/>
                <w:lang w:eastAsia="ja-JP"/>
              </w:rPr>
            </w:pPr>
            <w:r>
              <w:rPr>
                <w:rFonts w:eastAsia="SimSun"/>
                <w:lang w:eastAsia="ja-JP"/>
              </w:rPr>
              <w:t>R</w:t>
            </w:r>
            <w:r w:rsidR="008D475B">
              <w:rPr>
                <w:rFonts w:eastAsia="SimSun"/>
                <w:lang w:eastAsia="ja-JP"/>
              </w:rPr>
              <w:t>ecommend</w:t>
            </w:r>
            <w:r w:rsidR="00784C24">
              <w:rPr>
                <w:rFonts w:eastAsia="SimSun"/>
                <w:lang w:eastAsia="ja-JP"/>
              </w:rPr>
              <w:t>ed alternative</w:t>
            </w:r>
            <w:r w:rsidR="008D475B">
              <w:rPr>
                <w:rFonts w:eastAsia="SimSun"/>
                <w:lang w:eastAsia="ja-JP"/>
              </w:rPr>
              <w:t>s for warehouse thresholds include:</w:t>
            </w:r>
          </w:p>
          <w:p w14:paraId="1A961D0E" w14:textId="7A0BBED3" w:rsidR="00DF5EA7" w:rsidRPr="00F20C71" w:rsidRDefault="00784C24" w:rsidP="00DF5EA7">
            <w:pPr>
              <w:pStyle w:val="ListParagraph"/>
              <w:numPr>
                <w:ilvl w:val="0"/>
                <w:numId w:val="15"/>
              </w:numPr>
              <w:spacing w:after="0"/>
              <w:rPr>
                <w:rFonts w:eastAsia="SimSun"/>
                <w:lang w:eastAsia="ja-JP"/>
              </w:rPr>
            </w:pPr>
            <w:r>
              <w:t>A</w:t>
            </w:r>
            <w:r w:rsidR="00DF5EA7">
              <w:t xml:space="preserve"> total GFA of </w:t>
            </w:r>
            <w:r w:rsidR="00DF5EA7" w:rsidRPr="00C83351">
              <w:t>10,000</w:t>
            </w:r>
            <w:r w:rsidR="00602AD7">
              <w:t> </w:t>
            </w:r>
            <w:r w:rsidR="00DF5EA7" w:rsidRPr="00C83351">
              <w:t>m</w:t>
            </w:r>
            <w:r w:rsidR="00DF5EA7" w:rsidRPr="00407772">
              <w:rPr>
                <w:vertAlign w:val="superscript"/>
              </w:rPr>
              <w:t>2</w:t>
            </w:r>
            <w:r w:rsidR="00DF5EA7">
              <w:t xml:space="preserve">, </w:t>
            </w:r>
            <w:r w:rsidR="00DF5EA7" w:rsidRPr="00C83351">
              <w:t>and minimum tenancy GFA of 3,000</w:t>
            </w:r>
            <w:r w:rsidR="00C04B00">
              <w:t xml:space="preserve"> </w:t>
            </w:r>
            <w:r w:rsidR="00DF5EA7" w:rsidRPr="00C83351">
              <w:t>m</w:t>
            </w:r>
            <w:r w:rsidR="00DF5EA7" w:rsidRPr="00407772">
              <w:rPr>
                <w:vertAlign w:val="superscript"/>
              </w:rPr>
              <w:t>2</w:t>
            </w:r>
            <w:r w:rsidR="00DF5EA7" w:rsidRPr="00C83351">
              <w:t>.</w:t>
            </w:r>
          </w:p>
          <w:p w14:paraId="6726AB01" w14:textId="645EBD79" w:rsidR="008D475B" w:rsidRPr="002B7874" w:rsidRDefault="00784C24" w:rsidP="002D0222">
            <w:pPr>
              <w:pStyle w:val="ListParagraph"/>
              <w:numPr>
                <w:ilvl w:val="0"/>
                <w:numId w:val="15"/>
              </w:numPr>
              <w:spacing w:after="0"/>
              <w:rPr>
                <w:rFonts w:eastAsia="SimSun"/>
                <w:lang w:eastAsia="ja-JP"/>
              </w:rPr>
            </w:pPr>
            <w:r>
              <w:t>A</w:t>
            </w:r>
            <w:r w:rsidR="008D475B">
              <w:t xml:space="preserve"> </w:t>
            </w:r>
            <w:r w:rsidR="008D475B" w:rsidRPr="00C83351">
              <w:t>minimum</w:t>
            </w:r>
            <w:r w:rsidR="008D475B">
              <w:t xml:space="preserve"> GFA of</w:t>
            </w:r>
            <w:r w:rsidR="008D475B" w:rsidRPr="00C83351">
              <w:t xml:space="preserve"> 5,000</w:t>
            </w:r>
            <w:r w:rsidR="00602AD7">
              <w:t> </w:t>
            </w:r>
            <w:r w:rsidR="008D475B" w:rsidRPr="00C83351">
              <w:t>m</w:t>
            </w:r>
            <w:r w:rsidR="008D475B" w:rsidRPr="00CA5C80">
              <w:rPr>
                <w:vertAlign w:val="superscript"/>
              </w:rPr>
              <w:t>2</w:t>
            </w:r>
            <w:r w:rsidR="008D475B" w:rsidRPr="00C83351">
              <w:t xml:space="preserve"> (per tenancy/unit)</w:t>
            </w:r>
            <w:r>
              <w:t>.</w:t>
            </w:r>
          </w:p>
          <w:p w14:paraId="618EB1D8" w14:textId="2197B415" w:rsidR="000433F3" w:rsidRPr="005439AF" w:rsidRDefault="008D475B" w:rsidP="000433F3">
            <w:pPr>
              <w:pStyle w:val="ListParagraph"/>
              <w:numPr>
                <w:ilvl w:val="0"/>
                <w:numId w:val="15"/>
              </w:numPr>
              <w:spacing w:after="0"/>
              <w:rPr>
                <w:rFonts w:eastAsia="SimSun"/>
                <w:lang w:eastAsia="ja-JP"/>
              </w:rPr>
            </w:pPr>
            <w:r>
              <w:t>A minimum warehouse tenancy size of 3,000</w:t>
            </w:r>
            <w:r w:rsidR="00602AD7">
              <w:t> </w:t>
            </w:r>
            <w:r>
              <w:t>m</w:t>
            </w:r>
            <w:r w:rsidRPr="00407772">
              <w:rPr>
                <w:vertAlign w:val="superscript"/>
              </w:rPr>
              <w:t>2</w:t>
            </w:r>
            <w:r>
              <w:t>.</w:t>
            </w:r>
          </w:p>
        </w:tc>
        <w:tc>
          <w:tcPr>
            <w:tcW w:w="1945" w:type="pct"/>
          </w:tcPr>
          <w:p w14:paraId="0C4225F9" w14:textId="6C0FDF9F" w:rsidR="0053226D" w:rsidRPr="006A7507" w:rsidRDefault="008D475B" w:rsidP="002D0222">
            <w:pPr>
              <w:pStyle w:val="CommentText"/>
              <w:spacing w:after="0"/>
              <w:rPr>
                <w:rFonts w:eastAsia="SimSun" w:cs="Arial"/>
                <w:color w:val="000000"/>
                <w:lang w:eastAsia="ja-JP"/>
              </w:rPr>
            </w:pPr>
            <w:r w:rsidRPr="006A7507">
              <w:rPr>
                <w:rFonts w:eastAsia="SimSun" w:cs="Arial"/>
                <w:color w:val="000000"/>
                <w:lang w:eastAsia="ja-JP"/>
              </w:rPr>
              <w:t xml:space="preserve">The proposed </w:t>
            </w:r>
            <w:r w:rsidR="00F301A8" w:rsidRPr="006A7507">
              <w:rPr>
                <w:rFonts w:eastAsia="SimSun" w:cs="Arial"/>
                <w:color w:val="000000"/>
                <w:lang w:eastAsia="ja-JP"/>
              </w:rPr>
              <w:t xml:space="preserve">warehouse </w:t>
            </w:r>
            <w:r w:rsidRPr="00FD19ED">
              <w:rPr>
                <w:rFonts w:eastAsia="SimSun" w:cs="Arial"/>
                <w:color w:val="000000"/>
                <w:lang w:eastAsia="ja-JP"/>
              </w:rPr>
              <w:t>threshold</w:t>
            </w:r>
            <w:r w:rsidRPr="006A7507">
              <w:rPr>
                <w:rFonts w:eastAsia="SimSun" w:cs="Arial"/>
                <w:color w:val="000000"/>
                <w:lang w:eastAsia="ja-JP"/>
              </w:rPr>
              <w:t xml:space="preserve"> balances outcomes to support large</w:t>
            </w:r>
            <w:r w:rsidR="006F1D50">
              <w:rPr>
                <w:rFonts w:eastAsia="SimSun" w:cs="Arial"/>
                <w:color w:val="000000"/>
                <w:lang w:eastAsia="ja-JP"/>
              </w:rPr>
              <w:t>-</w:t>
            </w:r>
            <w:r w:rsidRPr="006A7507">
              <w:rPr>
                <w:rFonts w:eastAsia="SimSun" w:cs="Arial"/>
                <w:color w:val="000000"/>
                <w:lang w:eastAsia="ja-JP"/>
              </w:rPr>
              <w:t>format</w:t>
            </w:r>
            <w:r w:rsidR="006F1D50">
              <w:rPr>
                <w:rFonts w:eastAsia="SimSun" w:cs="Arial"/>
                <w:color w:val="000000"/>
                <w:lang w:eastAsia="ja-JP"/>
              </w:rPr>
              <w:t>, high-impact</w:t>
            </w:r>
            <w:r w:rsidRPr="006A7507">
              <w:rPr>
                <w:rFonts w:eastAsia="SimSun" w:cs="Arial"/>
                <w:color w:val="000000"/>
                <w:lang w:eastAsia="ja-JP"/>
              </w:rPr>
              <w:t xml:space="preserve"> logistics and distribution warehouses with the ongoing need to ensure </w:t>
            </w:r>
            <w:r w:rsidR="00602AD7">
              <w:rPr>
                <w:rFonts w:eastAsia="SimSun" w:cs="Arial"/>
                <w:color w:val="000000"/>
                <w:lang w:eastAsia="ja-JP"/>
              </w:rPr>
              <w:t xml:space="preserve">that </w:t>
            </w:r>
            <w:r w:rsidRPr="006A7507">
              <w:rPr>
                <w:rFonts w:eastAsia="SimSun" w:cs="Arial"/>
                <w:color w:val="000000"/>
                <w:lang w:eastAsia="ja-JP"/>
              </w:rPr>
              <w:t xml:space="preserve">capacity </w:t>
            </w:r>
            <w:r w:rsidR="00EB7659">
              <w:rPr>
                <w:rFonts w:eastAsia="SimSun" w:cs="Arial"/>
                <w:color w:val="000000"/>
                <w:lang w:eastAsia="ja-JP"/>
              </w:rPr>
              <w:t xml:space="preserve">remains available </w:t>
            </w:r>
            <w:r w:rsidRPr="006A7507">
              <w:rPr>
                <w:rFonts w:eastAsia="SimSun" w:cs="Arial"/>
                <w:color w:val="000000"/>
                <w:lang w:eastAsia="ja-JP"/>
              </w:rPr>
              <w:t xml:space="preserve">in </w:t>
            </w:r>
            <w:r w:rsidR="00F301A8" w:rsidRPr="006A7507">
              <w:rPr>
                <w:rFonts w:eastAsia="SimSun" w:cs="Arial"/>
                <w:color w:val="000000"/>
                <w:lang w:eastAsia="ja-JP"/>
              </w:rPr>
              <w:t xml:space="preserve">the </w:t>
            </w:r>
            <w:proofErr w:type="gramStart"/>
            <w:r w:rsidR="0061687C">
              <w:rPr>
                <w:rFonts w:eastAsia="SimSun" w:cs="Arial"/>
                <w:color w:val="000000"/>
                <w:lang w:eastAsia="ja-JP"/>
              </w:rPr>
              <w:t>Industry</w:t>
            </w:r>
            <w:proofErr w:type="gramEnd"/>
            <w:r w:rsidR="0061687C">
              <w:rPr>
                <w:rFonts w:eastAsia="SimSun" w:cs="Arial"/>
                <w:color w:val="000000"/>
                <w:lang w:eastAsia="ja-JP"/>
              </w:rPr>
              <w:t xml:space="preserve"> (</w:t>
            </w:r>
            <w:r w:rsidR="00A2306D" w:rsidRPr="006A7507">
              <w:rPr>
                <w:rFonts w:eastAsia="SimSun" w:cs="Arial"/>
                <w:color w:val="000000"/>
                <w:lang w:eastAsia="ja-JP"/>
              </w:rPr>
              <w:t>General industry C zone precinct</w:t>
            </w:r>
            <w:r w:rsidR="0061687C">
              <w:rPr>
                <w:rFonts w:eastAsia="SimSun" w:cs="Arial"/>
                <w:color w:val="000000"/>
                <w:lang w:eastAsia="ja-JP"/>
              </w:rPr>
              <w:t>)</w:t>
            </w:r>
            <w:r w:rsidR="001F7655" w:rsidRPr="006A7507">
              <w:rPr>
                <w:rFonts w:eastAsia="SimSun" w:cs="Arial"/>
                <w:color w:val="000000"/>
                <w:lang w:eastAsia="ja-JP"/>
              </w:rPr>
              <w:t xml:space="preserve"> (</w:t>
            </w:r>
            <w:r w:rsidR="00473CDD" w:rsidRPr="006A7507">
              <w:rPr>
                <w:rFonts w:eastAsia="SimSun" w:cs="Arial"/>
                <w:color w:val="000000"/>
                <w:lang w:eastAsia="ja-JP"/>
              </w:rPr>
              <w:t>GI</w:t>
            </w:r>
            <w:r w:rsidRPr="006A7507">
              <w:rPr>
                <w:rFonts w:eastAsia="SimSun" w:cs="Arial"/>
                <w:color w:val="000000"/>
                <w:lang w:eastAsia="ja-JP"/>
              </w:rPr>
              <w:t>C zone precinct</w:t>
            </w:r>
            <w:r w:rsidR="001F7655" w:rsidRPr="006A7507">
              <w:rPr>
                <w:rFonts w:eastAsia="SimSun" w:cs="Arial"/>
                <w:color w:val="000000"/>
                <w:lang w:eastAsia="ja-JP"/>
              </w:rPr>
              <w:t>)</w:t>
            </w:r>
            <w:r w:rsidR="00F301A8" w:rsidRPr="006A7507">
              <w:rPr>
                <w:rFonts w:eastAsia="SimSun" w:cs="Arial"/>
                <w:color w:val="000000"/>
                <w:lang w:eastAsia="ja-JP"/>
              </w:rPr>
              <w:t>.</w:t>
            </w:r>
          </w:p>
          <w:p w14:paraId="45C7FD35" w14:textId="7E97F38B" w:rsidR="00F83C88" w:rsidRPr="006A7507" w:rsidRDefault="00F83C88" w:rsidP="002D0222">
            <w:pPr>
              <w:pStyle w:val="CommentText"/>
              <w:spacing w:after="0"/>
              <w:rPr>
                <w:rFonts w:eastAsia="SimSun" w:cs="Arial"/>
                <w:color w:val="000000"/>
                <w:lang w:eastAsia="ja-JP"/>
              </w:rPr>
            </w:pPr>
          </w:p>
          <w:p w14:paraId="1477C6FD" w14:textId="08B58E71" w:rsidR="00F301A8" w:rsidRPr="006A7507" w:rsidRDefault="00F301A8" w:rsidP="00F301A8">
            <w:pPr>
              <w:pStyle w:val="CommentText"/>
              <w:spacing w:after="0"/>
              <w:rPr>
                <w:rFonts w:eastAsia="SimSun" w:cs="Arial"/>
                <w:color w:val="000000"/>
                <w:lang w:eastAsia="ja-JP"/>
              </w:rPr>
            </w:pPr>
            <w:r w:rsidRPr="006A7507">
              <w:rPr>
                <w:rFonts w:eastAsia="SimSun" w:cs="Arial"/>
                <w:color w:val="000000"/>
                <w:lang w:eastAsia="ja-JP"/>
              </w:rPr>
              <w:t>There remains a need to preserve GIC zone precinct land to support high</w:t>
            </w:r>
            <w:r w:rsidR="00602AD7">
              <w:rPr>
                <w:rFonts w:eastAsia="SimSun" w:cs="Arial"/>
                <w:color w:val="000000"/>
                <w:lang w:eastAsia="ja-JP"/>
              </w:rPr>
              <w:t>-</w:t>
            </w:r>
            <w:r w:rsidRPr="006A7507">
              <w:rPr>
                <w:rFonts w:eastAsia="SimSun" w:cs="Arial"/>
                <w:color w:val="000000"/>
                <w:lang w:eastAsia="ja-JP"/>
              </w:rPr>
              <w:t>impact industry uses. Preserving these larger sites ensures that Brisbane can remain competitive and flexible in responding to changing industry activities and demand for large</w:t>
            </w:r>
            <w:r w:rsidR="006F1D50">
              <w:rPr>
                <w:rFonts w:eastAsia="SimSun" w:cs="Arial"/>
                <w:color w:val="000000"/>
                <w:lang w:eastAsia="ja-JP"/>
              </w:rPr>
              <w:t>-</w:t>
            </w:r>
            <w:r w:rsidRPr="006A7507">
              <w:rPr>
                <w:rFonts w:eastAsia="SimSun" w:cs="Arial"/>
                <w:color w:val="000000"/>
                <w:lang w:eastAsia="ja-JP"/>
              </w:rPr>
              <w:t>format</w:t>
            </w:r>
            <w:r w:rsidR="006F1D50">
              <w:rPr>
                <w:rFonts w:eastAsia="SimSun" w:cs="Arial"/>
                <w:color w:val="000000"/>
                <w:lang w:eastAsia="ja-JP"/>
              </w:rPr>
              <w:t>, high</w:t>
            </w:r>
            <w:r w:rsidR="00C04B00">
              <w:rPr>
                <w:rFonts w:eastAsia="SimSun" w:cs="Arial"/>
                <w:color w:val="000000"/>
                <w:lang w:eastAsia="ja-JP"/>
              </w:rPr>
              <w:noBreakHyphen/>
            </w:r>
            <w:r w:rsidR="006F1D50">
              <w:rPr>
                <w:rFonts w:eastAsia="SimSun" w:cs="Arial"/>
                <w:color w:val="000000"/>
                <w:lang w:eastAsia="ja-JP"/>
              </w:rPr>
              <w:t>impact</w:t>
            </w:r>
            <w:r w:rsidRPr="006A7507">
              <w:rPr>
                <w:rFonts w:eastAsia="SimSun" w:cs="Arial"/>
                <w:color w:val="000000"/>
                <w:lang w:eastAsia="ja-JP"/>
              </w:rPr>
              <w:t xml:space="preserve"> warehouse</w:t>
            </w:r>
            <w:r w:rsidR="002C7B88">
              <w:rPr>
                <w:rFonts w:eastAsia="SimSun" w:cs="Arial"/>
                <w:color w:val="000000"/>
                <w:lang w:eastAsia="ja-JP"/>
              </w:rPr>
              <w:t xml:space="preserve"> use</w:t>
            </w:r>
            <w:r w:rsidRPr="006A7507">
              <w:rPr>
                <w:rFonts w:eastAsia="SimSun" w:cs="Arial"/>
                <w:color w:val="000000"/>
                <w:lang w:eastAsia="ja-JP"/>
              </w:rPr>
              <w:t>s.</w:t>
            </w:r>
          </w:p>
          <w:p w14:paraId="1A24E527" w14:textId="5E374F9F" w:rsidR="00F301A8" w:rsidRPr="006A7507" w:rsidRDefault="00F301A8" w:rsidP="002D0222">
            <w:pPr>
              <w:pStyle w:val="CommentText"/>
              <w:spacing w:after="0"/>
              <w:rPr>
                <w:rFonts w:eastAsia="SimSun" w:cs="Arial"/>
                <w:color w:val="000000"/>
                <w:lang w:eastAsia="ja-JP"/>
              </w:rPr>
            </w:pPr>
          </w:p>
          <w:p w14:paraId="2D61F501" w14:textId="2AE261D2" w:rsidR="00F301A8" w:rsidRPr="000433F3" w:rsidRDefault="00F301A8" w:rsidP="000433F3">
            <w:pPr>
              <w:spacing w:after="0"/>
              <w:rPr>
                <w:rFonts w:eastAsia="SimSun"/>
                <w:lang w:eastAsia="ja-JP"/>
              </w:rPr>
            </w:pPr>
            <w:r w:rsidRPr="006A7507">
              <w:rPr>
                <w:rFonts w:eastAsia="SimSun" w:cs="Arial"/>
                <w:color w:val="000000"/>
                <w:lang w:eastAsia="ja-JP"/>
              </w:rPr>
              <w:t xml:space="preserve">The minimum gross floor area threshold per tenancy is proposed to </w:t>
            </w:r>
            <w:proofErr w:type="spellStart"/>
            <w:r w:rsidRPr="006A7507">
              <w:rPr>
                <w:rFonts w:eastAsia="SimSun" w:cs="Arial"/>
                <w:color w:val="000000"/>
                <w:lang w:eastAsia="ja-JP"/>
              </w:rPr>
              <w:t>minimi</w:t>
            </w:r>
            <w:r w:rsidR="00F0082C" w:rsidRPr="006A7507">
              <w:rPr>
                <w:rFonts w:eastAsia="SimSun" w:cs="Arial"/>
                <w:color w:val="000000"/>
                <w:lang w:eastAsia="ja-JP"/>
              </w:rPr>
              <w:t>s</w:t>
            </w:r>
            <w:r w:rsidRPr="006A7507">
              <w:rPr>
                <w:rFonts w:eastAsia="SimSun" w:cs="Arial"/>
                <w:color w:val="000000"/>
                <w:lang w:eastAsia="ja-JP"/>
              </w:rPr>
              <w:t>e</w:t>
            </w:r>
            <w:proofErr w:type="spellEnd"/>
            <w:r w:rsidRPr="006A7507">
              <w:rPr>
                <w:rFonts w:eastAsia="SimSun" w:cs="Arial"/>
                <w:color w:val="000000"/>
                <w:lang w:eastAsia="ja-JP"/>
              </w:rPr>
              <w:t xml:space="preserve"> small multi-tenancy developments occurring in large format warehouse developments.</w:t>
            </w:r>
            <w:r w:rsidR="004F2FD8" w:rsidRPr="006A7507">
              <w:rPr>
                <w:rFonts w:eastAsia="SimSun" w:cs="Arial"/>
                <w:color w:val="000000"/>
                <w:lang w:eastAsia="ja-JP"/>
              </w:rPr>
              <w:t xml:space="preserve"> </w:t>
            </w:r>
            <w:r w:rsidR="00F83C88" w:rsidRPr="000F51D7">
              <w:rPr>
                <w:rFonts w:eastAsia="SimSun"/>
                <w:lang w:eastAsia="ja-JP"/>
              </w:rPr>
              <w:t xml:space="preserve">Smaller warehouses are not considered to have the operating intensity or potential impacts on sensitive uses that warrant locating in </w:t>
            </w:r>
            <w:r w:rsidR="004F2FD8" w:rsidRPr="00EA3A14">
              <w:rPr>
                <w:rFonts w:eastAsia="SimSun"/>
                <w:lang w:eastAsia="ja-JP"/>
              </w:rPr>
              <w:t xml:space="preserve">the </w:t>
            </w:r>
            <w:r w:rsidR="00F83C88" w:rsidRPr="00EA3A14">
              <w:rPr>
                <w:rFonts w:eastAsia="SimSun"/>
                <w:lang w:eastAsia="ja-JP"/>
              </w:rPr>
              <w:t xml:space="preserve">GIC zone precinct. </w:t>
            </w:r>
            <w:r w:rsidRPr="000433F3">
              <w:rPr>
                <w:rFonts w:eastAsia="SimSun"/>
                <w:lang w:eastAsia="ja-JP"/>
              </w:rPr>
              <w:t>Smaller operating tenancies</w:t>
            </w:r>
            <w:r w:rsidR="006F1D50">
              <w:rPr>
                <w:rFonts w:eastAsia="SimSun"/>
                <w:lang w:eastAsia="ja-JP"/>
              </w:rPr>
              <w:t>, such as ‘last mile logistics’</w:t>
            </w:r>
            <w:r w:rsidR="00A60A38">
              <w:rPr>
                <w:rFonts w:eastAsia="SimSun"/>
                <w:lang w:eastAsia="ja-JP"/>
              </w:rPr>
              <w:t>,</w:t>
            </w:r>
            <w:r w:rsidRPr="000433F3">
              <w:rPr>
                <w:rFonts w:eastAsia="SimSun"/>
                <w:lang w:eastAsia="ja-JP"/>
              </w:rPr>
              <w:t xml:space="preserve"> can be located on sites in lower</w:t>
            </w:r>
            <w:r w:rsidR="00602AD7">
              <w:rPr>
                <w:rFonts w:eastAsia="SimSun"/>
                <w:lang w:eastAsia="ja-JP"/>
              </w:rPr>
              <w:t>-</w:t>
            </w:r>
            <w:r w:rsidRPr="000433F3">
              <w:rPr>
                <w:rFonts w:eastAsia="SimSun"/>
                <w:lang w:eastAsia="ja-JP"/>
              </w:rPr>
              <w:t xml:space="preserve">order </w:t>
            </w:r>
            <w:r w:rsidR="004F2FD8" w:rsidRPr="000433F3">
              <w:rPr>
                <w:rFonts w:eastAsia="SimSun"/>
                <w:lang w:eastAsia="ja-JP"/>
              </w:rPr>
              <w:t xml:space="preserve">industry </w:t>
            </w:r>
            <w:r w:rsidRPr="000433F3">
              <w:rPr>
                <w:rFonts w:eastAsia="SimSun"/>
                <w:lang w:eastAsia="ja-JP"/>
              </w:rPr>
              <w:t xml:space="preserve">zones and are not considered to have the level of impact to justify a need for the larger sites or consolidation in </w:t>
            </w:r>
            <w:r w:rsidR="00ED01A9" w:rsidRPr="000433F3">
              <w:rPr>
                <w:rFonts w:eastAsia="SimSun"/>
                <w:lang w:eastAsia="ja-JP"/>
              </w:rPr>
              <w:t xml:space="preserve">the </w:t>
            </w:r>
            <w:r w:rsidRPr="000433F3">
              <w:rPr>
                <w:rFonts w:eastAsia="SimSun"/>
                <w:lang w:eastAsia="ja-JP"/>
              </w:rPr>
              <w:t>GIC zone precinct.</w:t>
            </w:r>
          </w:p>
          <w:p w14:paraId="4F5E1912" w14:textId="77777777" w:rsidR="00F301A8" w:rsidRPr="006A7507" w:rsidRDefault="00F301A8" w:rsidP="002D0222">
            <w:pPr>
              <w:pStyle w:val="CommentText"/>
              <w:spacing w:after="0"/>
              <w:rPr>
                <w:rFonts w:eastAsia="SimSun" w:cs="Arial"/>
                <w:color w:val="000000"/>
                <w:lang w:eastAsia="ja-JP"/>
              </w:rPr>
            </w:pPr>
          </w:p>
          <w:p w14:paraId="22E9FE71" w14:textId="49CF7906" w:rsidR="00F83C88" w:rsidRDefault="0053226D" w:rsidP="00A748BF">
            <w:pPr>
              <w:pStyle w:val="CommentText"/>
              <w:spacing w:after="0"/>
              <w:rPr>
                <w:rFonts w:eastAsia="SimSun" w:cs="Arial"/>
                <w:color w:val="000000"/>
                <w:lang w:eastAsia="ja-JP"/>
              </w:rPr>
            </w:pPr>
            <w:r w:rsidRPr="006A7507">
              <w:rPr>
                <w:rFonts w:eastAsia="SimSun" w:cs="Arial"/>
                <w:color w:val="000000"/>
                <w:lang w:eastAsia="ja-JP"/>
              </w:rPr>
              <w:t>In response to</w:t>
            </w:r>
            <w:r w:rsidR="006E6814" w:rsidRPr="006A7507">
              <w:rPr>
                <w:rFonts w:eastAsia="SimSun" w:cs="Arial"/>
                <w:color w:val="000000"/>
                <w:lang w:eastAsia="ja-JP"/>
              </w:rPr>
              <w:t xml:space="preserve"> further analysis</w:t>
            </w:r>
            <w:r w:rsidR="009B2BA5" w:rsidRPr="006A7507">
              <w:rPr>
                <w:rFonts w:eastAsia="SimSun" w:cs="Arial"/>
                <w:color w:val="000000"/>
                <w:lang w:eastAsia="ja-JP"/>
              </w:rPr>
              <w:t xml:space="preserve"> and testing</w:t>
            </w:r>
            <w:r w:rsidR="006E6814" w:rsidRPr="006A7507">
              <w:rPr>
                <w:rFonts w:eastAsia="SimSun" w:cs="Arial"/>
                <w:color w:val="000000"/>
                <w:lang w:eastAsia="ja-JP"/>
              </w:rPr>
              <w:t xml:space="preserve"> of development activity</w:t>
            </w:r>
            <w:r w:rsidR="00B82077" w:rsidRPr="006A7507">
              <w:rPr>
                <w:rFonts w:eastAsia="SimSun" w:cs="Arial"/>
                <w:color w:val="000000"/>
                <w:lang w:eastAsia="ja-JP"/>
              </w:rPr>
              <w:t>,</w:t>
            </w:r>
            <w:r w:rsidR="006E6814" w:rsidRPr="006A7507">
              <w:rPr>
                <w:rFonts w:eastAsia="SimSun" w:cs="Arial"/>
                <w:color w:val="000000"/>
                <w:lang w:eastAsia="ja-JP"/>
              </w:rPr>
              <w:t xml:space="preserve"> land supply data</w:t>
            </w:r>
            <w:r w:rsidR="000239E7" w:rsidRPr="006A7507">
              <w:rPr>
                <w:rFonts w:eastAsia="SimSun" w:cs="Arial"/>
                <w:color w:val="000000"/>
                <w:lang w:eastAsia="ja-JP"/>
              </w:rPr>
              <w:t xml:space="preserve"> of GIC zone</w:t>
            </w:r>
            <w:r w:rsidR="006F1D50">
              <w:rPr>
                <w:rFonts w:eastAsia="SimSun" w:cs="Arial"/>
                <w:color w:val="000000"/>
                <w:lang w:eastAsia="ja-JP"/>
              </w:rPr>
              <w:t xml:space="preserve"> precinct</w:t>
            </w:r>
            <w:r w:rsidR="00A2306D" w:rsidRPr="006A7507">
              <w:rPr>
                <w:rFonts w:eastAsia="SimSun" w:cs="Arial"/>
                <w:color w:val="000000"/>
                <w:lang w:eastAsia="ja-JP"/>
              </w:rPr>
              <w:t xml:space="preserve"> land</w:t>
            </w:r>
            <w:r w:rsidR="00B82077" w:rsidRPr="006A7507">
              <w:rPr>
                <w:rFonts w:eastAsia="SimSun" w:cs="Arial"/>
                <w:color w:val="000000"/>
                <w:lang w:eastAsia="ja-JP"/>
              </w:rPr>
              <w:t xml:space="preserve">, </w:t>
            </w:r>
            <w:proofErr w:type="gramStart"/>
            <w:r w:rsidR="006E6814" w:rsidRPr="006A7507">
              <w:rPr>
                <w:rFonts w:eastAsia="SimSun" w:cs="Arial"/>
                <w:color w:val="000000"/>
                <w:lang w:eastAsia="ja-JP"/>
              </w:rPr>
              <w:t>submission</w:t>
            </w:r>
            <w:r w:rsidR="00B82077" w:rsidRPr="006A7507">
              <w:rPr>
                <w:rFonts w:eastAsia="SimSun" w:cs="Arial"/>
                <w:color w:val="000000"/>
                <w:lang w:eastAsia="ja-JP"/>
              </w:rPr>
              <w:t>s</w:t>
            </w:r>
            <w:proofErr w:type="gramEnd"/>
            <w:r w:rsidR="006E6814" w:rsidRPr="006A7507">
              <w:rPr>
                <w:rFonts w:eastAsia="SimSun" w:cs="Arial"/>
                <w:color w:val="000000"/>
                <w:lang w:eastAsia="ja-JP"/>
              </w:rPr>
              <w:t xml:space="preserve"> and site visits,</w:t>
            </w:r>
            <w:r w:rsidR="00B82077" w:rsidRPr="006A7507">
              <w:rPr>
                <w:rFonts w:eastAsia="SimSun" w:cs="Arial"/>
                <w:color w:val="000000"/>
                <w:lang w:eastAsia="ja-JP"/>
              </w:rPr>
              <w:t xml:space="preserve"> </w:t>
            </w:r>
            <w:r w:rsidR="00A2306D" w:rsidRPr="006A7507">
              <w:rPr>
                <w:rFonts w:eastAsia="SimSun" w:cs="Arial"/>
                <w:color w:val="000000"/>
                <w:lang w:eastAsia="ja-JP"/>
              </w:rPr>
              <w:t>it is</w:t>
            </w:r>
            <w:r w:rsidR="00DE15EB" w:rsidRPr="006A7507">
              <w:rPr>
                <w:rFonts w:eastAsia="SimSun" w:cs="Arial"/>
                <w:color w:val="000000"/>
                <w:lang w:eastAsia="ja-JP"/>
              </w:rPr>
              <w:t xml:space="preserve"> proposed </w:t>
            </w:r>
            <w:r w:rsidR="00A2306D" w:rsidRPr="006A7507">
              <w:rPr>
                <w:rFonts w:eastAsia="SimSun" w:cs="Arial"/>
                <w:color w:val="000000"/>
                <w:lang w:eastAsia="ja-JP"/>
              </w:rPr>
              <w:t xml:space="preserve">to change the </w:t>
            </w:r>
            <w:r w:rsidR="00DE15EB" w:rsidRPr="006A7507">
              <w:rPr>
                <w:rFonts w:eastAsia="SimSun" w:cs="Arial"/>
                <w:color w:val="000000"/>
                <w:lang w:eastAsia="ja-JP"/>
              </w:rPr>
              <w:t xml:space="preserve">threshold </w:t>
            </w:r>
            <w:r w:rsidR="00CD78EB" w:rsidRPr="006A7507">
              <w:rPr>
                <w:rFonts w:eastAsia="SimSun" w:cs="Arial"/>
                <w:color w:val="000000"/>
                <w:lang w:eastAsia="ja-JP"/>
              </w:rPr>
              <w:t>to 10,000</w:t>
            </w:r>
            <w:r w:rsidR="00602AD7">
              <w:rPr>
                <w:rFonts w:eastAsia="SimSun" w:cs="Arial"/>
                <w:color w:val="000000"/>
                <w:lang w:eastAsia="ja-JP"/>
              </w:rPr>
              <w:t> </w:t>
            </w:r>
            <w:r w:rsidR="00CD78EB" w:rsidRPr="006A7507">
              <w:rPr>
                <w:rFonts w:eastAsia="SimSun" w:cs="Arial"/>
                <w:color w:val="000000"/>
                <w:lang w:eastAsia="ja-JP"/>
              </w:rPr>
              <w:t>m</w:t>
            </w:r>
            <w:r w:rsidR="00CD78EB" w:rsidRPr="006A7507">
              <w:rPr>
                <w:rFonts w:eastAsia="SimSun" w:cs="Arial"/>
                <w:color w:val="000000"/>
                <w:vertAlign w:val="superscript"/>
                <w:lang w:eastAsia="ja-JP"/>
              </w:rPr>
              <w:t>2</w:t>
            </w:r>
            <w:r w:rsidR="00B82077" w:rsidRPr="006A7507">
              <w:rPr>
                <w:rFonts w:eastAsia="SimSun" w:cs="Arial"/>
                <w:color w:val="000000"/>
                <w:lang w:eastAsia="ja-JP"/>
              </w:rPr>
              <w:t>.</w:t>
            </w:r>
            <w:r w:rsidR="003D0AC0" w:rsidRPr="006A7507">
              <w:rPr>
                <w:rFonts w:eastAsia="SimSun" w:cs="Arial"/>
                <w:color w:val="000000"/>
                <w:lang w:eastAsia="ja-JP"/>
              </w:rPr>
              <w:t xml:space="preserve"> This proposed reduction in threshold</w:t>
            </w:r>
            <w:r w:rsidR="00A1333E" w:rsidRPr="006A7507">
              <w:rPr>
                <w:rFonts w:eastAsia="SimSun" w:cs="Arial"/>
                <w:color w:val="000000"/>
                <w:lang w:eastAsia="ja-JP"/>
              </w:rPr>
              <w:t xml:space="preserve"> </w:t>
            </w:r>
            <w:proofErr w:type="gramStart"/>
            <w:r w:rsidR="00A1333E" w:rsidRPr="006A7507">
              <w:rPr>
                <w:rFonts w:eastAsia="SimSun" w:cs="Arial"/>
                <w:color w:val="000000"/>
                <w:lang w:eastAsia="ja-JP"/>
              </w:rPr>
              <w:t>is considered to be</w:t>
            </w:r>
            <w:proofErr w:type="gramEnd"/>
            <w:r w:rsidR="00A1333E" w:rsidRPr="006A7507">
              <w:rPr>
                <w:rFonts w:eastAsia="SimSun" w:cs="Arial"/>
                <w:color w:val="000000"/>
                <w:lang w:eastAsia="ja-JP"/>
              </w:rPr>
              <w:t xml:space="preserve"> more responsive to market demands and availability of land</w:t>
            </w:r>
            <w:r w:rsidR="00A2306D" w:rsidRPr="006A7507">
              <w:rPr>
                <w:rFonts w:eastAsia="SimSun" w:cs="Arial"/>
                <w:color w:val="000000"/>
                <w:lang w:eastAsia="ja-JP"/>
              </w:rPr>
              <w:t xml:space="preserve"> in the GIC zone precinct</w:t>
            </w:r>
            <w:r w:rsidR="00344776" w:rsidRPr="006A7507">
              <w:rPr>
                <w:rFonts w:eastAsia="SimSun" w:cs="Arial"/>
                <w:color w:val="000000"/>
                <w:lang w:eastAsia="ja-JP"/>
              </w:rPr>
              <w:t>.</w:t>
            </w:r>
          </w:p>
          <w:p w14:paraId="083D8890" w14:textId="77777777" w:rsidR="000878A9" w:rsidRDefault="000878A9" w:rsidP="00A748BF">
            <w:pPr>
              <w:pStyle w:val="CommentText"/>
              <w:spacing w:after="0"/>
              <w:rPr>
                <w:rFonts w:eastAsia="SimSun" w:cs="Arial"/>
                <w:color w:val="000000"/>
                <w:lang w:eastAsia="ja-JP"/>
              </w:rPr>
            </w:pPr>
          </w:p>
          <w:p w14:paraId="1AEFA721" w14:textId="3BACAB98" w:rsidR="000878A9" w:rsidRPr="006A7507" w:rsidRDefault="000878A9" w:rsidP="00A748BF">
            <w:pPr>
              <w:pStyle w:val="CommentText"/>
              <w:spacing w:after="0"/>
              <w:rPr>
                <w:rFonts w:eastAsia="SimSun" w:cs="Arial"/>
                <w:color w:val="000000"/>
                <w:lang w:eastAsia="ja-JP"/>
              </w:rPr>
            </w:pPr>
            <w:r w:rsidRPr="007A30DC">
              <w:rPr>
                <w:rFonts w:eastAsia="SimSun"/>
                <w:lang w:eastAsia="ja-JP"/>
              </w:rPr>
              <w:t>Further investigation into the</w:t>
            </w:r>
            <w:r>
              <w:rPr>
                <w:rFonts w:eastAsia="SimSun"/>
                <w:lang w:eastAsia="ja-JP"/>
              </w:rPr>
              <w:t xml:space="preserve"> distribution of industrial zones </w:t>
            </w:r>
            <w:r w:rsidRPr="007A30DC">
              <w:rPr>
                <w:rFonts w:eastAsia="SimSun"/>
                <w:lang w:eastAsia="ja-JP"/>
              </w:rPr>
              <w:t>will be carried out as part of the</w:t>
            </w:r>
            <w:r>
              <w:rPr>
                <w:rFonts w:eastAsia="SimSun"/>
                <w:lang w:eastAsia="ja-JP"/>
              </w:rPr>
              <w:t xml:space="preserve"> </w:t>
            </w:r>
            <w:r w:rsidRPr="007A30DC">
              <w:rPr>
                <w:rFonts w:eastAsia="SimSun"/>
                <w:lang w:eastAsia="ja-JP"/>
              </w:rPr>
              <w:t>implementation phase of</w:t>
            </w:r>
            <w:r>
              <w:rPr>
                <w:rFonts w:eastAsia="SimSun"/>
                <w:lang w:eastAsia="ja-JP"/>
              </w:rPr>
              <w:t xml:space="preserve"> </w:t>
            </w:r>
            <w:r w:rsidRPr="00A7475B">
              <w:rPr>
                <w:rFonts w:eastAsia="SimSun"/>
                <w:i/>
                <w:iCs/>
                <w:lang w:eastAsia="ja-JP"/>
              </w:rPr>
              <w:t>Our Productive City: Brisbane’s Industrial Future</w:t>
            </w:r>
            <w:r w:rsidRPr="007A30DC">
              <w:rPr>
                <w:rFonts w:eastAsia="SimSun"/>
                <w:lang w:eastAsia="ja-JP"/>
              </w:rPr>
              <w:t>.</w:t>
            </w:r>
            <w:r>
              <w:rPr>
                <w:rFonts w:eastAsia="SimSun"/>
                <w:lang w:eastAsia="ja-JP"/>
              </w:rPr>
              <w:t xml:space="preserve"> </w:t>
            </w:r>
            <w:r w:rsidRPr="007A30DC">
              <w:rPr>
                <w:rFonts w:eastAsia="SimSun"/>
                <w:lang w:eastAsia="ja-JP"/>
              </w:rPr>
              <w:t>The changes proposed in this package of amendments represents an incremental change as Council undertakes these further investigations.</w:t>
            </w:r>
          </w:p>
        </w:tc>
        <w:tc>
          <w:tcPr>
            <w:tcW w:w="540" w:type="pct"/>
          </w:tcPr>
          <w:p w14:paraId="3BCB5ECB" w14:textId="477EE0D3" w:rsidR="008D475B" w:rsidRPr="009136DB" w:rsidRDefault="00866610" w:rsidP="002D0222">
            <w:pPr>
              <w:spacing w:after="0"/>
              <w:rPr>
                <w:rFonts w:cstheme="minorHAnsi"/>
              </w:rPr>
            </w:pPr>
            <w:r w:rsidRPr="002474C1">
              <w:rPr>
                <w:rFonts w:cstheme="minorHAnsi"/>
              </w:rPr>
              <w:t>C</w:t>
            </w:r>
            <w:r w:rsidR="008D475B" w:rsidRPr="002474C1">
              <w:rPr>
                <w:rFonts w:cstheme="minorHAnsi"/>
              </w:rPr>
              <w:t>hange</w:t>
            </w:r>
          </w:p>
        </w:tc>
      </w:tr>
      <w:tr w:rsidR="006A5AFB" w14:paraId="4C8C4AD4" w14:textId="77777777" w:rsidTr="004419FE">
        <w:tc>
          <w:tcPr>
            <w:tcW w:w="587" w:type="pct"/>
          </w:tcPr>
          <w:p w14:paraId="40A3790A" w14:textId="254E0B28" w:rsidR="0039027D" w:rsidRDefault="00B129BB" w:rsidP="002D0222">
            <w:pPr>
              <w:spacing w:after="0"/>
            </w:pPr>
            <w:r>
              <w:lastRenderedPageBreak/>
              <w:t>MK-016</w:t>
            </w:r>
          </w:p>
          <w:p w14:paraId="48C7234B" w14:textId="2B355A69" w:rsidR="0039027D" w:rsidRDefault="00B129BB" w:rsidP="002D0222">
            <w:pPr>
              <w:spacing w:after="0"/>
            </w:pPr>
            <w:r>
              <w:t>MK-031</w:t>
            </w:r>
          </w:p>
          <w:p w14:paraId="4AD6A5E6" w14:textId="58698034" w:rsidR="0039027D" w:rsidRDefault="00B129BB" w:rsidP="002D0222">
            <w:pPr>
              <w:spacing w:after="0"/>
            </w:pPr>
            <w:r>
              <w:t>MK-037</w:t>
            </w:r>
          </w:p>
          <w:p w14:paraId="57714570" w14:textId="50F6E45D" w:rsidR="0039027D" w:rsidRDefault="00B129BB" w:rsidP="002D0222">
            <w:pPr>
              <w:spacing w:after="0"/>
            </w:pPr>
            <w:r>
              <w:t>MK-039</w:t>
            </w:r>
          </w:p>
          <w:p w14:paraId="21210D91" w14:textId="61BA969B" w:rsidR="0039027D" w:rsidRDefault="00B129BB" w:rsidP="002D0222">
            <w:pPr>
              <w:spacing w:after="0"/>
            </w:pPr>
            <w:r>
              <w:t>MK-041</w:t>
            </w:r>
          </w:p>
          <w:p w14:paraId="312CA10E" w14:textId="3B37ECE3" w:rsidR="0039027D" w:rsidRDefault="00B129BB" w:rsidP="002D0222">
            <w:pPr>
              <w:spacing w:after="0"/>
            </w:pPr>
            <w:r>
              <w:t>MK-053</w:t>
            </w:r>
          </w:p>
          <w:p w14:paraId="74CB4D1E" w14:textId="0C12329E" w:rsidR="00B129BB" w:rsidRDefault="00B129BB" w:rsidP="002D0222">
            <w:pPr>
              <w:spacing w:after="0"/>
            </w:pPr>
            <w:r>
              <w:t>MK-054</w:t>
            </w:r>
          </w:p>
        </w:tc>
        <w:tc>
          <w:tcPr>
            <w:tcW w:w="1928" w:type="pct"/>
          </w:tcPr>
          <w:p w14:paraId="365A64FF" w14:textId="4FA3D128" w:rsidR="004C2185" w:rsidRDefault="0039027D" w:rsidP="002D0222">
            <w:pPr>
              <w:spacing w:after="0"/>
            </w:pPr>
            <w:r>
              <w:rPr>
                <w:rFonts w:eastAsia="SimSun"/>
                <w:lang w:eastAsia="ja-JP"/>
              </w:rPr>
              <w:t>The s</w:t>
            </w:r>
            <w:r w:rsidR="005C7B2B" w:rsidRPr="003D6693">
              <w:rPr>
                <w:rFonts w:eastAsia="SimSun"/>
                <w:lang w:eastAsia="ja-JP"/>
              </w:rPr>
              <w:t xml:space="preserve">ubmitters </w:t>
            </w:r>
            <w:r w:rsidR="005C7B2B" w:rsidRPr="003D6693">
              <w:t>recommend</w:t>
            </w:r>
            <w:r w:rsidR="006C7924" w:rsidRPr="003D6693">
              <w:t xml:space="preserve"> the</w:t>
            </w:r>
            <w:r w:rsidR="00ED01A9">
              <w:t xml:space="preserve"> removal of the</w:t>
            </w:r>
            <w:r w:rsidR="00A65B8F" w:rsidRPr="003D6693">
              <w:t xml:space="preserve"> </w:t>
            </w:r>
            <w:r w:rsidR="00A2306D">
              <w:t xml:space="preserve">proposed criteria for </w:t>
            </w:r>
            <w:r w:rsidR="00472327" w:rsidRPr="003D6693">
              <w:t>development for a warehouse</w:t>
            </w:r>
            <w:r w:rsidR="00A65B8F" w:rsidRPr="003D6693">
              <w:t xml:space="preserve"> </w:t>
            </w:r>
            <w:r w:rsidR="00E17D39" w:rsidRPr="003D6693">
              <w:t>to be a</w:t>
            </w:r>
            <w:r w:rsidR="002C5F74" w:rsidRPr="003D6693">
              <w:t xml:space="preserve"> </w:t>
            </w:r>
            <w:r w:rsidR="00B129BB" w:rsidRPr="003D6693">
              <w:t>‘major development’</w:t>
            </w:r>
            <w:r w:rsidR="006C7924" w:rsidRPr="003D6693">
              <w:t xml:space="preserve"> </w:t>
            </w:r>
            <w:r w:rsidR="00ED01A9">
              <w:t xml:space="preserve">as defined </w:t>
            </w:r>
            <w:r w:rsidR="00A2306D">
              <w:t>in</w:t>
            </w:r>
            <w:r w:rsidR="008972B1" w:rsidRPr="003D6693">
              <w:t xml:space="preserve"> the</w:t>
            </w:r>
            <w:r w:rsidR="00E97C1F" w:rsidRPr="003D6693">
              <w:t xml:space="preserve"> </w:t>
            </w:r>
            <w:r w:rsidR="009A421E" w:rsidRPr="00765815">
              <w:rPr>
                <w:rFonts w:cstheme="minorHAnsi"/>
              </w:rPr>
              <w:t xml:space="preserve">Transport, access, </w:t>
            </w:r>
            <w:proofErr w:type="gramStart"/>
            <w:r w:rsidR="009A421E" w:rsidRPr="00765815">
              <w:rPr>
                <w:rFonts w:cstheme="minorHAnsi"/>
              </w:rPr>
              <w:t>parking</w:t>
            </w:r>
            <w:proofErr w:type="gramEnd"/>
            <w:r w:rsidR="009A421E" w:rsidRPr="00765815">
              <w:rPr>
                <w:rFonts w:cstheme="minorHAnsi"/>
              </w:rPr>
              <w:t xml:space="preserve"> and servicing planning scheme policy</w:t>
            </w:r>
            <w:r w:rsidR="009A421E">
              <w:t xml:space="preserve"> (</w:t>
            </w:r>
            <w:r w:rsidR="006C7924" w:rsidRPr="003D6693">
              <w:t>TAPS PSP</w:t>
            </w:r>
            <w:r w:rsidR="009A421E">
              <w:t>)</w:t>
            </w:r>
            <w:r w:rsidR="00823545" w:rsidRPr="003D6693">
              <w:t xml:space="preserve"> thresholds</w:t>
            </w:r>
            <w:r w:rsidR="006C7924" w:rsidRPr="003D6693">
              <w:t>.</w:t>
            </w:r>
            <w:r w:rsidR="006C7924">
              <w:t xml:space="preserve"> </w:t>
            </w:r>
          </w:p>
        </w:tc>
        <w:tc>
          <w:tcPr>
            <w:tcW w:w="1945" w:type="pct"/>
          </w:tcPr>
          <w:p w14:paraId="44E15018" w14:textId="56B6C92C" w:rsidR="000433F3" w:rsidRPr="00CC6835" w:rsidRDefault="00F73CDD" w:rsidP="002D0222">
            <w:pPr>
              <w:spacing w:after="0"/>
            </w:pPr>
            <w:r w:rsidRPr="00F73CDD">
              <w:rPr>
                <w:rFonts w:eastAsia="SimSun"/>
                <w:lang w:eastAsia="ja-JP"/>
              </w:rPr>
              <w:t>Traffic generation is a key measure of</w:t>
            </w:r>
            <w:r>
              <w:rPr>
                <w:rFonts w:eastAsia="SimSun"/>
                <w:lang w:eastAsia="ja-JP"/>
              </w:rPr>
              <w:t xml:space="preserve"> </w:t>
            </w:r>
            <w:r w:rsidRPr="00F73CDD">
              <w:rPr>
                <w:rFonts w:eastAsia="SimSun"/>
                <w:lang w:eastAsia="ja-JP"/>
              </w:rPr>
              <w:t>development</w:t>
            </w:r>
            <w:r>
              <w:rPr>
                <w:rFonts w:eastAsia="SimSun"/>
                <w:lang w:eastAsia="ja-JP"/>
              </w:rPr>
              <w:t xml:space="preserve"> </w:t>
            </w:r>
            <w:r w:rsidRPr="00F73CDD">
              <w:rPr>
                <w:rFonts w:eastAsia="SimSun"/>
                <w:lang w:eastAsia="ja-JP"/>
              </w:rPr>
              <w:t>intensity and impacts to identify warehouse</w:t>
            </w:r>
            <w:r w:rsidR="00C029CD">
              <w:rPr>
                <w:rFonts w:eastAsia="SimSun"/>
                <w:lang w:eastAsia="ja-JP"/>
              </w:rPr>
              <w:t xml:space="preserve"> use</w:t>
            </w:r>
            <w:r w:rsidRPr="00F73CDD">
              <w:rPr>
                <w:rFonts w:eastAsia="SimSun"/>
                <w:lang w:eastAsia="ja-JP"/>
              </w:rPr>
              <w:t>s that may</w:t>
            </w:r>
            <w:r>
              <w:rPr>
                <w:rFonts w:eastAsia="SimSun"/>
                <w:lang w:eastAsia="ja-JP"/>
              </w:rPr>
              <w:t xml:space="preserve"> </w:t>
            </w:r>
            <w:r w:rsidRPr="00F73CDD">
              <w:rPr>
                <w:rFonts w:eastAsia="SimSun"/>
                <w:lang w:eastAsia="ja-JP"/>
              </w:rPr>
              <w:t>warrant locating in the</w:t>
            </w:r>
            <w:r>
              <w:rPr>
                <w:rFonts w:eastAsia="SimSun"/>
                <w:lang w:eastAsia="ja-JP"/>
              </w:rPr>
              <w:t xml:space="preserve"> </w:t>
            </w:r>
            <w:proofErr w:type="gramStart"/>
            <w:r w:rsidR="003331B4">
              <w:rPr>
                <w:rFonts w:eastAsia="SimSun"/>
                <w:lang w:eastAsia="ja-JP"/>
              </w:rPr>
              <w:t>Industry</w:t>
            </w:r>
            <w:proofErr w:type="gramEnd"/>
            <w:r w:rsidR="003331B4">
              <w:rPr>
                <w:rFonts w:eastAsia="SimSun"/>
                <w:lang w:eastAsia="ja-JP"/>
              </w:rPr>
              <w:t xml:space="preserve"> (General industry</w:t>
            </w:r>
            <w:r w:rsidR="00602AD7">
              <w:rPr>
                <w:rFonts w:eastAsia="SimSun"/>
                <w:lang w:eastAsia="ja-JP"/>
              </w:rPr>
              <w:t> </w:t>
            </w:r>
            <w:r w:rsidR="003331B4">
              <w:rPr>
                <w:rFonts w:eastAsia="SimSun"/>
                <w:lang w:eastAsia="ja-JP"/>
              </w:rPr>
              <w:t>C</w:t>
            </w:r>
            <w:r w:rsidRPr="00F73CDD">
              <w:rPr>
                <w:rFonts w:eastAsia="SimSun"/>
                <w:lang w:eastAsia="ja-JP"/>
              </w:rPr>
              <w:t xml:space="preserve"> zone precinct</w:t>
            </w:r>
            <w:r w:rsidR="003331B4">
              <w:rPr>
                <w:rFonts w:eastAsia="SimSun"/>
                <w:lang w:eastAsia="ja-JP"/>
              </w:rPr>
              <w:t>)</w:t>
            </w:r>
            <w:r w:rsidRPr="00F73CDD">
              <w:rPr>
                <w:rFonts w:eastAsia="SimSun"/>
                <w:lang w:eastAsia="ja-JP"/>
              </w:rPr>
              <w:t>.  Accordingly, a minimum threshold has been adopted to identify development with high traffic generating potential</w:t>
            </w:r>
            <w:r w:rsidR="00A2306D">
              <w:rPr>
                <w:rFonts w:eastAsia="SimSun"/>
                <w:lang w:eastAsia="ja-JP"/>
              </w:rPr>
              <w:t xml:space="preserve"> (‘major development’)</w:t>
            </w:r>
            <w:r w:rsidRPr="00F73CDD">
              <w:rPr>
                <w:rFonts w:eastAsia="SimSun"/>
                <w:lang w:eastAsia="ja-JP"/>
              </w:rPr>
              <w:t xml:space="preserve"> that is</w:t>
            </w:r>
            <w:r w:rsidR="00ED27B7" w:rsidRPr="000F51D7">
              <w:rPr>
                <w:rFonts w:eastAsia="SimSun"/>
                <w:lang w:eastAsia="ja-JP"/>
              </w:rPr>
              <w:t xml:space="preserve"> considered to have the operating intensity or potential impacts on sensitive uses that </w:t>
            </w:r>
            <w:r w:rsidR="00ED27B7">
              <w:rPr>
                <w:rFonts w:eastAsia="SimSun"/>
                <w:lang w:eastAsia="ja-JP"/>
              </w:rPr>
              <w:t>justify</w:t>
            </w:r>
            <w:r w:rsidR="00ED27B7" w:rsidRPr="000F51D7">
              <w:rPr>
                <w:rFonts w:eastAsia="SimSun"/>
                <w:lang w:eastAsia="ja-JP"/>
              </w:rPr>
              <w:t xml:space="preserve"> locating in </w:t>
            </w:r>
            <w:r w:rsidR="00ED27B7" w:rsidRPr="00EA3A14">
              <w:rPr>
                <w:rFonts w:eastAsia="SimSun"/>
                <w:lang w:eastAsia="ja-JP"/>
              </w:rPr>
              <w:t xml:space="preserve">the </w:t>
            </w:r>
            <w:proofErr w:type="gramStart"/>
            <w:r w:rsidR="00CC7E09">
              <w:rPr>
                <w:rFonts w:eastAsia="SimSun"/>
                <w:lang w:eastAsia="ja-JP"/>
              </w:rPr>
              <w:t>Industry</w:t>
            </w:r>
            <w:proofErr w:type="gramEnd"/>
            <w:r w:rsidR="00CC7E09">
              <w:rPr>
                <w:rFonts w:eastAsia="SimSun"/>
                <w:lang w:eastAsia="ja-JP"/>
              </w:rPr>
              <w:t xml:space="preserve"> (</w:t>
            </w:r>
            <w:r w:rsidR="00ED27B7" w:rsidRPr="00EA3A14">
              <w:rPr>
                <w:rFonts w:eastAsia="SimSun"/>
                <w:lang w:eastAsia="ja-JP"/>
              </w:rPr>
              <w:t>G</w:t>
            </w:r>
            <w:r w:rsidR="00CC7E09">
              <w:rPr>
                <w:rFonts w:eastAsia="SimSun"/>
                <w:lang w:eastAsia="ja-JP"/>
              </w:rPr>
              <w:t xml:space="preserve">eneral industry </w:t>
            </w:r>
            <w:r w:rsidR="00ED27B7" w:rsidRPr="00EA3A14">
              <w:rPr>
                <w:rFonts w:eastAsia="SimSun"/>
                <w:lang w:eastAsia="ja-JP"/>
              </w:rPr>
              <w:t>C zone precinct</w:t>
            </w:r>
            <w:r w:rsidR="00CC7E09">
              <w:rPr>
                <w:rFonts w:eastAsia="SimSun"/>
                <w:lang w:eastAsia="ja-JP"/>
              </w:rPr>
              <w:t>)</w:t>
            </w:r>
            <w:r w:rsidRPr="00F73CDD">
              <w:rPr>
                <w:rFonts w:eastAsia="SimSun"/>
                <w:lang w:eastAsia="ja-JP"/>
              </w:rPr>
              <w:t>. This land provides</w:t>
            </w:r>
            <w:r>
              <w:rPr>
                <w:rFonts w:eastAsia="SimSun"/>
                <w:lang w:eastAsia="ja-JP"/>
              </w:rPr>
              <w:t xml:space="preserve"> </w:t>
            </w:r>
            <w:r w:rsidRPr="00F73CDD">
              <w:rPr>
                <w:rFonts w:eastAsia="SimSun"/>
                <w:lang w:eastAsia="ja-JP"/>
              </w:rPr>
              <w:t xml:space="preserve">better access to </w:t>
            </w:r>
            <w:r w:rsidR="00A50C93">
              <w:rPr>
                <w:rFonts w:eastAsia="SimSun"/>
                <w:lang w:eastAsia="ja-JP"/>
              </w:rPr>
              <w:t>heavy vehicle</w:t>
            </w:r>
            <w:r>
              <w:rPr>
                <w:rFonts w:eastAsia="SimSun"/>
                <w:lang w:eastAsia="ja-JP"/>
              </w:rPr>
              <w:t xml:space="preserve"> </w:t>
            </w:r>
            <w:r w:rsidRPr="00F73CDD">
              <w:rPr>
                <w:rFonts w:eastAsia="SimSun"/>
                <w:lang w:eastAsia="ja-JP"/>
              </w:rPr>
              <w:t>routes</w:t>
            </w:r>
            <w:r>
              <w:rPr>
                <w:rFonts w:eastAsia="SimSun"/>
                <w:lang w:eastAsia="ja-JP"/>
              </w:rPr>
              <w:t xml:space="preserve"> </w:t>
            </w:r>
            <w:r w:rsidRPr="00F73CDD">
              <w:rPr>
                <w:rFonts w:eastAsia="SimSun"/>
                <w:lang w:eastAsia="ja-JP"/>
              </w:rPr>
              <w:t>and</w:t>
            </w:r>
            <w:r>
              <w:rPr>
                <w:rFonts w:eastAsia="SimSun"/>
                <w:lang w:eastAsia="ja-JP"/>
              </w:rPr>
              <w:t xml:space="preserve"> </w:t>
            </w:r>
            <w:r w:rsidRPr="00F73CDD">
              <w:rPr>
                <w:rFonts w:eastAsia="SimSun"/>
                <w:lang w:eastAsia="ja-JP"/>
              </w:rPr>
              <w:t>avoids</w:t>
            </w:r>
            <w:r>
              <w:rPr>
                <w:rFonts w:eastAsia="SimSun"/>
                <w:lang w:eastAsia="ja-JP"/>
              </w:rPr>
              <w:t xml:space="preserve"> </w:t>
            </w:r>
            <w:r w:rsidRPr="00F73CDD">
              <w:rPr>
                <w:rFonts w:eastAsia="SimSun"/>
                <w:lang w:eastAsia="ja-JP"/>
              </w:rPr>
              <w:t>access through residential and other sensitive zones.</w:t>
            </w:r>
          </w:p>
        </w:tc>
        <w:tc>
          <w:tcPr>
            <w:tcW w:w="540" w:type="pct"/>
          </w:tcPr>
          <w:p w14:paraId="00300068" w14:textId="6F33D889" w:rsidR="00B129BB" w:rsidRPr="009136DB" w:rsidRDefault="00B129BB" w:rsidP="002D0222">
            <w:pPr>
              <w:spacing w:after="0"/>
            </w:pPr>
            <w:r w:rsidRPr="009136DB">
              <w:t>No change</w:t>
            </w:r>
          </w:p>
        </w:tc>
      </w:tr>
      <w:tr w:rsidR="004A249B" w14:paraId="745A6D2A" w14:textId="77777777" w:rsidTr="004419FE">
        <w:tc>
          <w:tcPr>
            <w:tcW w:w="587" w:type="pct"/>
          </w:tcPr>
          <w:p w14:paraId="198A70FA" w14:textId="6C3EFE74" w:rsidR="004A249B" w:rsidRDefault="004A249B" w:rsidP="002D0222">
            <w:pPr>
              <w:spacing w:after="0"/>
            </w:pPr>
            <w:r>
              <w:t>MK-020</w:t>
            </w:r>
          </w:p>
        </w:tc>
        <w:tc>
          <w:tcPr>
            <w:tcW w:w="1928" w:type="pct"/>
          </w:tcPr>
          <w:p w14:paraId="6F1CE575" w14:textId="25283EED" w:rsidR="004A249B" w:rsidRDefault="0039027D" w:rsidP="002D0222">
            <w:pPr>
              <w:spacing w:after="0"/>
            </w:pPr>
            <w:r>
              <w:t>The s</w:t>
            </w:r>
            <w:r w:rsidR="005A4AEB">
              <w:t>ubmitter r</w:t>
            </w:r>
            <w:r w:rsidR="00621772" w:rsidRPr="00621772">
              <w:t>equest</w:t>
            </w:r>
            <w:r w:rsidR="005A4AEB">
              <w:t>s</w:t>
            </w:r>
            <w:r w:rsidR="00621772" w:rsidRPr="00621772">
              <w:t xml:space="preserve"> </w:t>
            </w:r>
            <w:r w:rsidR="001F7655">
              <w:t>w</w:t>
            </w:r>
            <w:r w:rsidR="00621772" w:rsidRPr="00621772">
              <w:t>arehouse</w:t>
            </w:r>
            <w:r w:rsidR="001F7655">
              <w:t xml:space="preserve"> and l</w:t>
            </w:r>
            <w:r w:rsidR="00621772" w:rsidRPr="00621772">
              <w:t xml:space="preserve">ow and </w:t>
            </w:r>
            <w:r w:rsidR="001F7655">
              <w:t>m</w:t>
            </w:r>
            <w:r w:rsidR="00621772" w:rsidRPr="00621772">
              <w:t xml:space="preserve">edium </w:t>
            </w:r>
            <w:r w:rsidR="00621772">
              <w:t>i</w:t>
            </w:r>
            <w:r w:rsidR="00621772" w:rsidRPr="00621772">
              <w:t xml:space="preserve">mpact </w:t>
            </w:r>
            <w:r w:rsidR="00621772">
              <w:t>i</w:t>
            </w:r>
            <w:r w:rsidR="00621772" w:rsidRPr="00621772">
              <w:t>ndustry</w:t>
            </w:r>
            <w:r w:rsidR="005A4AEB">
              <w:t xml:space="preserve"> uses be allowed</w:t>
            </w:r>
            <w:r w:rsidR="00621772" w:rsidRPr="00621772">
              <w:t xml:space="preserve"> in </w:t>
            </w:r>
            <w:r w:rsidR="005A4AEB">
              <w:t xml:space="preserve">the </w:t>
            </w:r>
            <w:r w:rsidR="00621772" w:rsidRPr="00621772">
              <w:t>GIC</w:t>
            </w:r>
            <w:r w:rsidR="005A4AEB">
              <w:t xml:space="preserve"> zone precinct</w:t>
            </w:r>
            <w:r w:rsidR="00621772" w:rsidRPr="00621772">
              <w:t xml:space="preserve"> where </w:t>
            </w:r>
            <w:r w:rsidR="00ED01A9">
              <w:t xml:space="preserve">the land is located </w:t>
            </w:r>
            <w:r w:rsidR="00621772" w:rsidRPr="00621772">
              <w:t>within 500</w:t>
            </w:r>
            <w:r w:rsidR="00602AD7">
              <w:t> </w:t>
            </w:r>
            <w:r w:rsidR="00621772" w:rsidRPr="00621772">
              <w:t xml:space="preserve">m of </w:t>
            </w:r>
            <w:r w:rsidR="005A4AEB">
              <w:t>r</w:t>
            </w:r>
            <w:r w:rsidR="00621772" w:rsidRPr="00621772">
              <w:t xml:space="preserve">esidential </w:t>
            </w:r>
            <w:r w:rsidR="00C04B00" w:rsidRPr="00621772">
              <w:t>areas</w:t>
            </w:r>
            <w:r w:rsidR="00C04B00">
              <w:t xml:space="preserve"> and</w:t>
            </w:r>
            <w:r w:rsidR="008C3BBF">
              <w:t xml:space="preserve"> cites an example at </w:t>
            </w:r>
            <w:proofErr w:type="spellStart"/>
            <w:r w:rsidR="008C3BBF">
              <w:t>Pinkenba</w:t>
            </w:r>
            <w:proofErr w:type="spellEnd"/>
            <w:r w:rsidR="008C3BBF">
              <w:t>.</w:t>
            </w:r>
          </w:p>
        </w:tc>
        <w:tc>
          <w:tcPr>
            <w:tcW w:w="1945" w:type="pct"/>
          </w:tcPr>
          <w:p w14:paraId="4ABBD888" w14:textId="584154F1" w:rsidR="00FD27DB" w:rsidRDefault="007A30DC" w:rsidP="002D0222">
            <w:pPr>
              <w:spacing w:after="0"/>
              <w:rPr>
                <w:rFonts w:eastAsia="SimSun"/>
                <w:lang w:eastAsia="ja-JP"/>
              </w:rPr>
            </w:pPr>
            <w:r w:rsidRPr="007A30DC">
              <w:rPr>
                <w:rFonts w:eastAsia="SimSun"/>
                <w:lang w:eastAsia="ja-JP"/>
              </w:rPr>
              <w:t>Comments and suggestions regarding the</w:t>
            </w:r>
            <w:r w:rsidR="0044499C">
              <w:rPr>
                <w:rFonts w:eastAsia="SimSun"/>
                <w:lang w:eastAsia="ja-JP"/>
              </w:rPr>
              <w:t xml:space="preserve"> </w:t>
            </w:r>
            <w:r w:rsidRPr="007A30DC">
              <w:rPr>
                <w:rFonts w:eastAsia="SimSun"/>
                <w:lang w:eastAsia="ja-JP"/>
              </w:rPr>
              <w:t xml:space="preserve">suitability of the </w:t>
            </w:r>
            <w:proofErr w:type="gramStart"/>
            <w:r w:rsidR="00CC7E09">
              <w:rPr>
                <w:rFonts w:eastAsia="SimSun"/>
                <w:lang w:eastAsia="ja-JP"/>
              </w:rPr>
              <w:t>Industry</w:t>
            </w:r>
            <w:proofErr w:type="gramEnd"/>
            <w:r w:rsidR="00CC7E09">
              <w:rPr>
                <w:rFonts w:eastAsia="SimSun"/>
                <w:lang w:eastAsia="ja-JP"/>
              </w:rPr>
              <w:t xml:space="preserve"> (</w:t>
            </w:r>
            <w:r w:rsidR="001F7655">
              <w:rPr>
                <w:rFonts w:eastAsia="SimSun"/>
                <w:lang w:eastAsia="ja-JP"/>
              </w:rPr>
              <w:t>G</w:t>
            </w:r>
            <w:r w:rsidR="00CC7E09">
              <w:rPr>
                <w:rFonts w:eastAsia="SimSun"/>
                <w:lang w:eastAsia="ja-JP"/>
              </w:rPr>
              <w:t xml:space="preserve">eneral industry </w:t>
            </w:r>
            <w:r w:rsidR="001F7655">
              <w:rPr>
                <w:rFonts w:eastAsia="SimSun"/>
                <w:lang w:eastAsia="ja-JP"/>
              </w:rPr>
              <w:t>C zone precinct</w:t>
            </w:r>
            <w:r w:rsidR="00CC7E09">
              <w:rPr>
                <w:rFonts w:eastAsia="SimSun"/>
                <w:lang w:eastAsia="ja-JP"/>
              </w:rPr>
              <w:t>)</w:t>
            </w:r>
            <w:r w:rsidR="0044499C">
              <w:rPr>
                <w:rFonts w:eastAsia="SimSun"/>
                <w:lang w:eastAsia="ja-JP"/>
              </w:rPr>
              <w:t xml:space="preserve"> </w:t>
            </w:r>
            <w:r w:rsidRPr="007A30DC">
              <w:rPr>
                <w:rFonts w:eastAsia="SimSun"/>
                <w:lang w:eastAsia="ja-JP"/>
              </w:rPr>
              <w:t>for lower order industrial uses,</w:t>
            </w:r>
            <w:r w:rsidR="0044499C">
              <w:rPr>
                <w:rFonts w:eastAsia="SimSun"/>
                <w:lang w:eastAsia="ja-JP"/>
              </w:rPr>
              <w:t xml:space="preserve"> </w:t>
            </w:r>
            <w:r w:rsidRPr="007A30DC">
              <w:rPr>
                <w:rFonts w:eastAsia="SimSun"/>
                <w:lang w:eastAsia="ja-JP"/>
              </w:rPr>
              <w:t>where within proximity to residential areas,</w:t>
            </w:r>
            <w:r w:rsidR="0044499C">
              <w:rPr>
                <w:rFonts w:eastAsia="SimSun"/>
                <w:lang w:eastAsia="ja-JP"/>
              </w:rPr>
              <w:t xml:space="preserve"> </w:t>
            </w:r>
            <w:r w:rsidRPr="007A30DC">
              <w:rPr>
                <w:rFonts w:eastAsia="SimSun"/>
                <w:lang w:eastAsia="ja-JP"/>
              </w:rPr>
              <w:t>are noted.</w:t>
            </w:r>
          </w:p>
          <w:p w14:paraId="585A387C" w14:textId="77777777" w:rsidR="001F7655" w:rsidRDefault="001F7655" w:rsidP="002D0222">
            <w:pPr>
              <w:spacing w:after="0"/>
              <w:rPr>
                <w:rFonts w:eastAsia="SimSun"/>
                <w:lang w:eastAsia="ja-JP"/>
              </w:rPr>
            </w:pPr>
          </w:p>
          <w:p w14:paraId="429BB403" w14:textId="24779B03" w:rsidR="000433F3" w:rsidRPr="005439AF" w:rsidRDefault="007A30DC" w:rsidP="002D0222">
            <w:pPr>
              <w:spacing w:after="0"/>
              <w:rPr>
                <w:rFonts w:eastAsia="SimSun"/>
                <w:lang w:eastAsia="ja-JP"/>
              </w:rPr>
            </w:pPr>
            <w:r w:rsidRPr="007A30DC">
              <w:rPr>
                <w:rFonts w:eastAsia="SimSun"/>
                <w:lang w:eastAsia="ja-JP"/>
              </w:rPr>
              <w:t>Further investigation into the</w:t>
            </w:r>
            <w:r w:rsidR="0044499C">
              <w:rPr>
                <w:rFonts w:eastAsia="SimSun"/>
                <w:lang w:eastAsia="ja-JP"/>
              </w:rPr>
              <w:t xml:space="preserve"> </w:t>
            </w:r>
            <w:r w:rsidR="00F5271F">
              <w:rPr>
                <w:rFonts w:eastAsia="SimSun"/>
                <w:lang w:eastAsia="ja-JP"/>
              </w:rPr>
              <w:t>distribution of industrial zones</w:t>
            </w:r>
            <w:r w:rsidR="0044499C">
              <w:rPr>
                <w:rFonts w:eastAsia="SimSun"/>
                <w:lang w:eastAsia="ja-JP"/>
              </w:rPr>
              <w:t xml:space="preserve"> </w:t>
            </w:r>
            <w:r w:rsidRPr="007A30DC">
              <w:rPr>
                <w:rFonts w:eastAsia="SimSun"/>
                <w:lang w:eastAsia="ja-JP"/>
              </w:rPr>
              <w:t>will be carried out as part of the</w:t>
            </w:r>
            <w:r w:rsidR="0044499C">
              <w:rPr>
                <w:rFonts w:eastAsia="SimSun"/>
                <w:lang w:eastAsia="ja-JP"/>
              </w:rPr>
              <w:t xml:space="preserve"> </w:t>
            </w:r>
            <w:r w:rsidRPr="007A30DC">
              <w:rPr>
                <w:rFonts w:eastAsia="SimSun"/>
                <w:lang w:eastAsia="ja-JP"/>
              </w:rPr>
              <w:t>implementation phase of</w:t>
            </w:r>
            <w:r w:rsidR="0044499C">
              <w:rPr>
                <w:rFonts w:eastAsia="SimSun"/>
                <w:lang w:eastAsia="ja-JP"/>
              </w:rPr>
              <w:t xml:space="preserve"> </w:t>
            </w:r>
            <w:r w:rsidRPr="00A7475B">
              <w:rPr>
                <w:rFonts w:eastAsia="SimSun"/>
                <w:i/>
                <w:iCs/>
                <w:lang w:eastAsia="ja-JP"/>
              </w:rPr>
              <w:t>Our Productive City: Brisbane’s Industrial Future</w:t>
            </w:r>
            <w:r w:rsidRPr="007A30DC">
              <w:rPr>
                <w:rFonts w:eastAsia="SimSun"/>
                <w:lang w:eastAsia="ja-JP"/>
              </w:rPr>
              <w:t>.</w:t>
            </w:r>
            <w:r w:rsidR="00A7475B">
              <w:rPr>
                <w:rFonts w:eastAsia="SimSun"/>
                <w:lang w:eastAsia="ja-JP"/>
              </w:rPr>
              <w:t xml:space="preserve"> </w:t>
            </w:r>
            <w:r w:rsidRPr="007A30DC">
              <w:rPr>
                <w:rFonts w:eastAsia="SimSun"/>
                <w:lang w:eastAsia="ja-JP"/>
              </w:rPr>
              <w:t>The changes proposed in this package of amendments represents an incremental change as Council undertakes these further investigations.</w:t>
            </w:r>
          </w:p>
        </w:tc>
        <w:tc>
          <w:tcPr>
            <w:tcW w:w="540" w:type="pct"/>
          </w:tcPr>
          <w:p w14:paraId="6A55B054" w14:textId="110B5FAA" w:rsidR="004A249B" w:rsidRPr="009136DB" w:rsidRDefault="004A249B" w:rsidP="002D0222">
            <w:pPr>
              <w:spacing w:after="0"/>
            </w:pPr>
            <w:r>
              <w:t>No change</w:t>
            </w:r>
          </w:p>
        </w:tc>
      </w:tr>
      <w:tr w:rsidR="00F301A8" w14:paraId="6645CEE8" w14:textId="77777777" w:rsidTr="004419FE">
        <w:tc>
          <w:tcPr>
            <w:tcW w:w="587" w:type="pct"/>
          </w:tcPr>
          <w:p w14:paraId="6C2E6D0E" w14:textId="2AF62BCC" w:rsidR="00F301A8" w:rsidRDefault="00F301A8" w:rsidP="00C04B00">
            <w:pPr>
              <w:keepNext/>
              <w:keepLines/>
              <w:spacing w:after="0"/>
            </w:pPr>
            <w:r>
              <w:t>MK-038</w:t>
            </w:r>
          </w:p>
        </w:tc>
        <w:tc>
          <w:tcPr>
            <w:tcW w:w="1928" w:type="pct"/>
          </w:tcPr>
          <w:p w14:paraId="4C1AB18A" w14:textId="2CCC1022" w:rsidR="00F301A8" w:rsidRDefault="0039027D" w:rsidP="00C04B00">
            <w:pPr>
              <w:keepNext/>
              <w:keepLines/>
            </w:pPr>
            <w:r>
              <w:t>The s</w:t>
            </w:r>
            <w:r w:rsidR="00F301A8">
              <w:t xml:space="preserve">ubmitter suggests </w:t>
            </w:r>
            <w:r w:rsidR="00602AD7">
              <w:t xml:space="preserve">that </w:t>
            </w:r>
            <w:r w:rsidR="00F301A8">
              <w:t>i</w:t>
            </w:r>
            <w:r w:rsidR="00F301A8" w:rsidRPr="0061471C">
              <w:t xml:space="preserve">ndustrial precincts within Lytton and </w:t>
            </w:r>
            <w:proofErr w:type="spellStart"/>
            <w:r w:rsidR="00F301A8" w:rsidRPr="0061471C">
              <w:t>Geebung</w:t>
            </w:r>
            <w:proofErr w:type="spellEnd"/>
            <w:r w:rsidR="00F301A8" w:rsidRPr="0061471C">
              <w:t xml:space="preserve"> are impacted by the inability to locate warehouse uses in the </w:t>
            </w:r>
            <w:r w:rsidR="00F301A8">
              <w:t>GIC</w:t>
            </w:r>
            <w:r w:rsidR="00F301A8" w:rsidRPr="0061471C">
              <w:t xml:space="preserve"> zone precinct. The average tenancy size in </w:t>
            </w:r>
            <w:proofErr w:type="spellStart"/>
            <w:r w:rsidR="00F301A8" w:rsidRPr="0061471C">
              <w:t>Geebung</w:t>
            </w:r>
            <w:proofErr w:type="spellEnd"/>
            <w:r w:rsidR="00F301A8" w:rsidRPr="0061471C">
              <w:t xml:space="preserve">/Virginia </w:t>
            </w:r>
            <w:r w:rsidR="00F301A8">
              <w:t>GIC</w:t>
            </w:r>
            <w:r w:rsidR="00F301A8" w:rsidRPr="0061471C">
              <w:t xml:space="preserve"> zone precinct is 850</w:t>
            </w:r>
            <w:r w:rsidR="00602AD7">
              <w:t> </w:t>
            </w:r>
            <w:r w:rsidR="00F301A8" w:rsidRPr="0061471C">
              <w:t>m</w:t>
            </w:r>
            <w:r w:rsidR="00F301A8" w:rsidRPr="00F9748F">
              <w:rPr>
                <w:vertAlign w:val="superscript"/>
              </w:rPr>
              <w:t>2</w:t>
            </w:r>
            <w:r w:rsidR="00F301A8" w:rsidRPr="0061471C">
              <w:t xml:space="preserve">, and is primarily warehouse, showroom and retail </w:t>
            </w:r>
            <w:proofErr w:type="gramStart"/>
            <w:r w:rsidR="00F301A8" w:rsidRPr="0061471C">
              <w:t>uses</w:t>
            </w:r>
            <w:proofErr w:type="gramEnd"/>
            <w:r w:rsidR="00F301A8" w:rsidRPr="0061471C">
              <w:t xml:space="preserve"> with approximately </w:t>
            </w:r>
            <w:r w:rsidR="004A6975">
              <w:t>three</w:t>
            </w:r>
            <w:r w:rsidR="00F301A8" w:rsidRPr="0061471C">
              <w:t xml:space="preserve"> large manufacturers in the entire precinct. Global trends show warehousing/distribution and manufacturing can all co-exist within industrial precincts.</w:t>
            </w:r>
          </w:p>
        </w:tc>
        <w:tc>
          <w:tcPr>
            <w:tcW w:w="1945" w:type="pct"/>
          </w:tcPr>
          <w:p w14:paraId="0C995D7E" w14:textId="2166CC48" w:rsidR="00F301A8" w:rsidRDefault="0057439A" w:rsidP="00C04B00">
            <w:pPr>
              <w:keepNext/>
              <w:keepLines/>
              <w:spacing w:after="0"/>
            </w:pPr>
            <w:r>
              <w:t>Small w</w:t>
            </w:r>
            <w:r w:rsidR="00F301A8">
              <w:t xml:space="preserve">arehouses are not supported in the </w:t>
            </w:r>
            <w:proofErr w:type="gramStart"/>
            <w:r w:rsidR="003331B4">
              <w:t>Industry</w:t>
            </w:r>
            <w:proofErr w:type="gramEnd"/>
            <w:r w:rsidR="003331B4">
              <w:t xml:space="preserve"> (</w:t>
            </w:r>
            <w:r w:rsidR="00F301A8">
              <w:t>G</w:t>
            </w:r>
            <w:r w:rsidR="003331B4">
              <w:t xml:space="preserve">eneral industry </w:t>
            </w:r>
            <w:r w:rsidR="00F301A8">
              <w:t>C zone precinct</w:t>
            </w:r>
            <w:r w:rsidR="003331B4">
              <w:t>)</w:t>
            </w:r>
            <w:r w:rsidR="00F301A8">
              <w:t xml:space="preserve"> in the Northern Major Industrial Area (MIA)</w:t>
            </w:r>
            <w:r w:rsidR="004A6975">
              <w:t>,</w:t>
            </w:r>
            <w:r w:rsidR="00F301A8">
              <w:t xml:space="preserve"> to preserve opportunities in the precinct to meet manufacturing demand and accommodate high</w:t>
            </w:r>
            <w:r w:rsidR="004A6975">
              <w:t>-</w:t>
            </w:r>
            <w:r w:rsidR="00F301A8">
              <w:t>impact industry and compatible medium</w:t>
            </w:r>
            <w:r w:rsidR="004A6975">
              <w:t>-</w:t>
            </w:r>
            <w:r w:rsidR="00F301A8">
              <w:t>impact industry uses</w:t>
            </w:r>
            <w:r w:rsidR="00667225">
              <w:t xml:space="preserve"> into the future</w:t>
            </w:r>
            <w:r w:rsidR="00F301A8">
              <w:t xml:space="preserve">. </w:t>
            </w:r>
          </w:p>
          <w:p w14:paraId="72A46DE8" w14:textId="77777777" w:rsidR="00F301A8" w:rsidRDefault="00F301A8" w:rsidP="00C04B00">
            <w:pPr>
              <w:keepNext/>
              <w:keepLines/>
              <w:spacing w:after="0"/>
            </w:pPr>
          </w:p>
          <w:p w14:paraId="3719D3EC" w14:textId="6868856E" w:rsidR="000433F3" w:rsidRDefault="00F301A8" w:rsidP="00C04B00">
            <w:pPr>
              <w:keepNext/>
              <w:keepLines/>
              <w:spacing w:after="0"/>
            </w:pPr>
            <w:r>
              <w:t xml:space="preserve">The analysis of industry demand projections and supply, undertaken as part of the </w:t>
            </w:r>
            <w:r w:rsidRPr="00913B97">
              <w:rPr>
                <w:i/>
                <w:iCs/>
              </w:rPr>
              <w:t>Brisbane Industrial Strategy 2019</w:t>
            </w:r>
            <w:r w:rsidR="00F5271F">
              <w:t xml:space="preserve"> and to inform the </w:t>
            </w:r>
            <w:r w:rsidR="00F5271F" w:rsidRPr="00A7475B">
              <w:rPr>
                <w:rFonts w:eastAsia="SimSun"/>
                <w:i/>
                <w:iCs/>
                <w:lang w:eastAsia="ja-JP"/>
              </w:rPr>
              <w:t>Our Productive City: Brisbane’s Industrial Future</w:t>
            </w:r>
            <w:r>
              <w:t>, identified GIC zone precinct land supply is already constrained in the Northern MIA, with a higher projected demand for manufacturing</w:t>
            </w:r>
            <w:r w:rsidR="00F5271F">
              <w:t xml:space="preserve"> and high impact industry</w:t>
            </w:r>
            <w:r>
              <w:t xml:space="preserve"> </w:t>
            </w:r>
            <w:r w:rsidRPr="00CD7E66">
              <w:t>uses.</w:t>
            </w:r>
            <w:r w:rsidR="00C06E96">
              <w:t xml:space="preserve"> </w:t>
            </w:r>
          </w:p>
        </w:tc>
        <w:tc>
          <w:tcPr>
            <w:tcW w:w="540" w:type="pct"/>
          </w:tcPr>
          <w:p w14:paraId="74E3E7F0" w14:textId="330703CB" w:rsidR="00F301A8" w:rsidRPr="009136DB" w:rsidRDefault="00F301A8" w:rsidP="00C04B00">
            <w:pPr>
              <w:keepNext/>
              <w:keepLines/>
              <w:spacing w:after="0"/>
            </w:pPr>
            <w:r w:rsidRPr="009136DB">
              <w:t>No change</w:t>
            </w:r>
          </w:p>
        </w:tc>
      </w:tr>
      <w:tr w:rsidR="00F9748F" w14:paraId="2B4C5B1B" w14:textId="77777777" w:rsidTr="00D84074">
        <w:tc>
          <w:tcPr>
            <w:tcW w:w="5000" w:type="pct"/>
            <w:gridSpan w:val="4"/>
            <w:shd w:val="clear" w:color="auto" w:fill="BFBFBF" w:themeFill="background1" w:themeFillShade="BF"/>
          </w:tcPr>
          <w:p w14:paraId="68233F9D" w14:textId="16FA8BCC" w:rsidR="00F96F57" w:rsidRPr="00F96F57" w:rsidRDefault="00F9748F" w:rsidP="003239EB">
            <w:pPr>
              <w:spacing w:after="0"/>
              <w:jc w:val="both"/>
              <w:rPr>
                <w:rFonts w:cs="Arial"/>
                <w:b/>
                <w:bCs/>
                <w:i/>
                <w:iCs/>
              </w:rPr>
            </w:pPr>
            <w:r w:rsidRPr="00EC4566">
              <w:rPr>
                <w:b/>
                <w:bCs/>
                <w:i/>
                <w:iCs/>
              </w:rPr>
              <w:t xml:space="preserve">Action 2 - </w:t>
            </w:r>
            <w:r w:rsidRPr="00EC4566">
              <w:rPr>
                <w:rFonts w:cs="Arial"/>
                <w:b/>
                <w:bCs/>
                <w:i/>
                <w:iCs/>
              </w:rPr>
              <w:t>Provide for appropriate non-industrial uses that meet the specific needs of workers and enhance the function of areas where low-impact industry is supported.</w:t>
            </w:r>
          </w:p>
        </w:tc>
      </w:tr>
      <w:tr w:rsidR="00815310" w14:paraId="5F4DE33E" w14:textId="77777777" w:rsidTr="003239EB">
        <w:trPr>
          <w:trHeight w:val="1575"/>
        </w:trPr>
        <w:tc>
          <w:tcPr>
            <w:tcW w:w="587" w:type="pct"/>
          </w:tcPr>
          <w:p w14:paraId="25627FF5" w14:textId="5DADEAA2" w:rsidR="00815310" w:rsidRDefault="00815310" w:rsidP="00CA6F25">
            <w:pPr>
              <w:spacing w:after="0"/>
            </w:pPr>
            <w:r>
              <w:lastRenderedPageBreak/>
              <w:t>MK-031</w:t>
            </w:r>
          </w:p>
        </w:tc>
        <w:tc>
          <w:tcPr>
            <w:tcW w:w="1928" w:type="pct"/>
          </w:tcPr>
          <w:p w14:paraId="4ED3A9A7" w14:textId="260EC2FC" w:rsidR="00815310" w:rsidRDefault="00815310" w:rsidP="00CA6F25">
            <w:pPr>
              <w:spacing w:after="0"/>
            </w:pPr>
            <w:r>
              <w:rPr>
                <w:shd w:val="clear" w:color="auto" w:fill="FFFFFF"/>
              </w:rPr>
              <w:t>The submitter supports</w:t>
            </w:r>
            <w:r w:rsidR="004A6975">
              <w:rPr>
                <w:shd w:val="clear" w:color="auto" w:fill="FFFFFF"/>
              </w:rPr>
              <w:t>,</w:t>
            </w:r>
            <w:r>
              <w:rPr>
                <w:shd w:val="clear" w:color="auto" w:fill="FFFFFF"/>
              </w:rPr>
              <w:t xml:space="preserve"> in part</w:t>
            </w:r>
            <w:r w:rsidR="004A6975">
              <w:rPr>
                <w:shd w:val="clear" w:color="auto" w:fill="FFFFFF"/>
              </w:rPr>
              <w:t>,</w:t>
            </w:r>
            <w:r>
              <w:rPr>
                <w:shd w:val="clear" w:color="auto" w:fill="FFFFFF"/>
              </w:rPr>
              <w:t xml:space="preserve"> broadening the scope for small</w:t>
            </w:r>
            <w:r w:rsidR="004A6975">
              <w:rPr>
                <w:shd w:val="clear" w:color="auto" w:fill="FFFFFF"/>
              </w:rPr>
              <w:t>-</w:t>
            </w:r>
            <w:r>
              <w:rPr>
                <w:shd w:val="clear" w:color="auto" w:fill="FFFFFF"/>
              </w:rPr>
              <w:t>scale support services and facilities in the industry zone, including food outlets and gyms, trade and industry related education, and small</w:t>
            </w:r>
            <w:r w:rsidR="004A6975">
              <w:rPr>
                <w:shd w:val="clear" w:color="auto" w:fill="FFFFFF"/>
              </w:rPr>
              <w:t>-</w:t>
            </w:r>
            <w:r>
              <w:rPr>
                <w:shd w:val="clear" w:color="auto" w:fill="FFFFFF"/>
              </w:rPr>
              <w:t xml:space="preserve">scale shops. However, </w:t>
            </w:r>
            <w:r w:rsidR="004A6975">
              <w:rPr>
                <w:shd w:val="clear" w:color="auto" w:fill="FFFFFF"/>
              </w:rPr>
              <w:t xml:space="preserve">the </w:t>
            </w:r>
            <w:r>
              <w:rPr>
                <w:shd w:val="clear" w:color="auto" w:fill="FFFFFF"/>
              </w:rPr>
              <w:t xml:space="preserve">submitter suggests </w:t>
            </w:r>
            <w:r w:rsidR="004A6975">
              <w:rPr>
                <w:shd w:val="clear" w:color="auto" w:fill="FFFFFF"/>
              </w:rPr>
              <w:t xml:space="preserve">that </w:t>
            </w:r>
            <w:r w:rsidRPr="008F23E4">
              <w:t>restricting clientele from</w:t>
            </w:r>
            <w:r>
              <w:t xml:space="preserve"> only</w:t>
            </w:r>
            <w:r w:rsidRPr="008F23E4">
              <w:t xml:space="preserve"> within the zone is unreasonably restrictive and a local catchment would be more appropriate.</w:t>
            </w:r>
          </w:p>
        </w:tc>
        <w:tc>
          <w:tcPr>
            <w:tcW w:w="1945" w:type="pct"/>
            <w:shd w:val="clear" w:color="auto" w:fill="auto"/>
          </w:tcPr>
          <w:p w14:paraId="0EB33104" w14:textId="7F8B8841" w:rsidR="00815310" w:rsidRDefault="00815310" w:rsidP="00815310">
            <w:pPr>
              <w:spacing w:after="0"/>
              <w:rPr>
                <w:rFonts w:eastAsia="SimSun"/>
                <w:lang w:eastAsia="ja-JP"/>
              </w:rPr>
            </w:pPr>
            <w:r>
              <w:rPr>
                <w:rFonts w:eastAsia="SimSun"/>
                <w:lang w:eastAsia="ja-JP"/>
              </w:rPr>
              <w:t>Support for</w:t>
            </w:r>
            <w:r w:rsidRPr="007F2DD7">
              <w:t xml:space="preserve"> the inclusion of non-industrial uses in industrial zones</w:t>
            </w:r>
            <w:r>
              <w:rPr>
                <w:rFonts w:eastAsia="SimSun"/>
                <w:lang w:eastAsia="ja-JP"/>
              </w:rPr>
              <w:t xml:space="preserve"> is</w:t>
            </w:r>
            <w:r w:rsidRPr="007A30DC">
              <w:rPr>
                <w:rFonts w:eastAsia="SimSun"/>
                <w:lang w:eastAsia="ja-JP"/>
              </w:rPr>
              <w:t xml:space="preserve"> noted.</w:t>
            </w:r>
          </w:p>
          <w:p w14:paraId="6D59025D" w14:textId="77777777" w:rsidR="00815310" w:rsidRDefault="00815310" w:rsidP="00CA6F25">
            <w:pPr>
              <w:spacing w:after="0"/>
            </w:pPr>
          </w:p>
          <w:p w14:paraId="292048BB" w14:textId="6782EAD3" w:rsidR="00815310" w:rsidRPr="005439AF" w:rsidRDefault="00815310" w:rsidP="002A11BB">
            <w:pPr>
              <w:spacing w:after="0"/>
              <w:rPr>
                <w:rFonts w:eastAsia="SimSun" w:cs="Arial"/>
                <w:color w:val="000000"/>
                <w:lang w:eastAsia="ja-JP"/>
              </w:rPr>
            </w:pPr>
            <w:r w:rsidRPr="006A7507">
              <w:rPr>
                <w:rFonts w:eastAsia="SimSun" w:cs="Arial"/>
                <w:color w:val="000000"/>
                <w:lang w:eastAsia="ja-JP"/>
              </w:rPr>
              <w:t>In response to submissions,</w:t>
            </w:r>
            <w:r>
              <w:rPr>
                <w:rFonts w:eastAsia="SimSun" w:cs="Arial"/>
                <w:color w:val="000000"/>
                <w:lang w:eastAsia="ja-JP"/>
              </w:rPr>
              <w:t xml:space="preserve"> changes are proposed to further clarify provisions for shop, food and drink outlet and indoor sport and recreation uses, including revised requirements limiting the service catchments.</w:t>
            </w:r>
          </w:p>
        </w:tc>
        <w:tc>
          <w:tcPr>
            <w:tcW w:w="540" w:type="pct"/>
          </w:tcPr>
          <w:p w14:paraId="5692F856" w14:textId="7D7F7085" w:rsidR="00815310" w:rsidRDefault="00815310" w:rsidP="00CA6F25">
            <w:pPr>
              <w:spacing w:after="0"/>
            </w:pPr>
            <w:r>
              <w:t>Change</w:t>
            </w:r>
          </w:p>
        </w:tc>
      </w:tr>
      <w:tr w:rsidR="00815310" w14:paraId="36BFF7E1" w14:textId="77777777" w:rsidTr="003239EB">
        <w:trPr>
          <w:trHeight w:val="506"/>
        </w:trPr>
        <w:tc>
          <w:tcPr>
            <w:tcW w:w="587" w:type="pct"/>
          </w:tcPr>
          <w:p w14:paraId="52DF6662" w14:textId="16C684E2" w:rsidR="00815310" w:rsidRDefault="00815310" w:rsidP="00CA6F25">
            <w:pPr>
              <w:spacing w:after="0"/>
            </w:pPr>
            <w:r>
              <w:t>MK-038</w:t>
            </w:r>
          </w:p>
          <w:p w14:paraId="278AD4CC" w14:textId="5307A360" w:rsidR="00815310" w:rsidRDefault="00815310" w:rsidP="00CA6F25">
            <w:pPr>
              <w:spacing w:after="0"/>
            </w:pPr>
            <w:r>
              <w:t>MK-041</w:t>
            </w:r>
          </w:p>
          <w:p w14:paraId="0BCBFA0C" w14:textId="5F67ADFE" w:rsidR="00815310" w:rsidRDefault="00815310" w:rsidP="00CA6F25">
            <w:pPr>
              <w:spacing w:after="0"/>
            </w:pPr>
            <w:r>
              <w:t>MK-053</w:t>
            </w:r>
          </w:p>
        </w:tc>
        <w:tc>
          <w:tcPr>
            <w:tcW w:w="1928" w:type="pct"/>
          </w:tcPr>
          <w:p w14:paraId="2B444D0B" w14:textId="7172C041" w:rsidR="00815310" w:rsidRDefault="00815310" w:rsidP="00CA6F25">
            <w:pPr>
              <w:spacing w:after="0"/>
              <w:rPr>
                <w:shd w:val="clear" w:color="auto" w:fill="FFFFFF"/>
              </w:rPr>
            </w:pPr>
            <w:r>
              <w:t>The submitters suggest providing g</w:t>
            </w:r>
            <w:r w:rsidRPr="008A4724">
              <w:t>reater flexibility for non-industrial land uses provid</w:t>
            </w:r>
            <w:r>
              <w:t>ing</w:t>
            </w:r>
            <w:r w:rsidRPr="008A4724">
              <w:t xml:space="preserve"> a direct nexus to industrial uses.</w:t>
            </w:r>
          </w:p>
        </w:tc>
        <w:tc>
          <w:tcPr>
            <w:tcW w:w="1945" w:type="pct"/>
            <w:shd w:val="clear" w:color="auto" w:fill="auto"/>
          </w:tcPr>
          <w:p w14:paraId="2E75FF74" w14:textId="1F36F010" w:rsidR="00815310" w:rsidRDefault="00815310" w:rsidP="00815310">
            <w:pPr>
              <w:spacing w:after="0"/>
            </w:pPr>
            <w:r w:rsidRPr="006C41A0">
              <w:t>The proposed</w:t>
            </w:r>
            <w:r>
              <w:t xml:space="preserve"> amendment</w:t>
            </w:r>
            <w:r w:rsidRPr="006C41A0">
              <w:t xml:space="preserve"> give</w:t>
            </w:r>
            <w:r>
              <w:t>s</w:t>
            </w:r>
            <w:r w:rsidRPr="006C41A0">
              <w:t xml:space="preserve"> effect to </w:t>
            </w:r>
            <w:r>
              <w:t xml:space="preserve">Action 2 </w:t>
            </w:r>
            <w:r w:rsidRPr="006C41A0">
              <w:t xml:space="preserve">from the </w:t>
            </w:r>
            <w:r w:rsidRPr="00913B97">
              <w:rPr>
                <w:i/>
                <w:iCs/>
              </w:rPr>
              <w:t>Brisbane Industrial Strategy 2019</w:t>
            </w:r>
            <w:r w:rsidRPr="00297A9A">
              <w:t xml:space="preserve"> to provide</w:t>
            </w:r>
            <w:r w:rsidRPr="00D4694E">
              <w:t xml:space="preserve"> for appropriate non-industrial uses that meet the specific needs of workers and enhance the function of areas where low</w:t>
            </w:r>
            <w:r w:rsidR="00047B47">
              <w:t xml:space="preserve"> </w:t>
            </w:r>
            <w:r w:rsidRPr="00D4694E">
              <w:t>impact industry is supported.</w:t>
            </w:r>
          </w:p>
          <w:p w14:paraId="7FD5D803" w14:textId="77777777" w:rsidR="00815310" w:rsidRDefault="00815310" w:rsidP="00815310">
            <w:pPr>
              <w:spacing w:after="0"/>
            </w:pPr>
          </w:p>
          <w:p w14:paraId="49CCD7E3" w14:textId="77777777" w:rsidR="00815310" w:rsidRDefault="00815310" w:rsidP="00815310">
            <w:pPr>
              <w:spacing w:after="0"/>
            </w:pPr>
            <w:r w:rsidRPr="00CC3ECC">
              <w:t xml:space="preserve">The proposed </w:t>
            </w:r>
            <w:r>
              <w:t xml:space="preserve">amendment </w:t>
            </w:r>
            <w:r w:rsidRPr="00CC3ECC">
              <w:t>seek</w:t>
            </w:r>
            <w:r>
              <w:t>s</w:t>
            </w:r>
            <w:r w:rsidRPr="00CC3ECC">
              <w:t xml:space="preserve"> to clarify the non-industrial uses that may be accommodated in industrial zones as stand-alone uses. The proposed </w:t>
            </w:r>
            <w:r>
              <w:t>amendment</w:t>
            </w:r>
            <w:r w:rsidRPr="00CC3ECC">
              <w:t xml:space="preserve"> do</w:t>
            </w:r>
            <w:r>
              <w:t>es</w:t>
            </w:r>
            <w:r w:rsidRPr="00CC3ECC">
              <w:t xml:space="preserve"> not limit opportunities for non-industrial ancillary </w:t>
            </w:r>
            <w:r>
              <w:t>activities</w:t>
            </w:r>
            <w:r w:rsidRPr="00CC3ECC">
              <w:t xml:space="preserve"> to be accommodated in industrial zones, where a direct nexus to an industrial use can be demonstrated.</w:t>
            </w:r>
          </w:p>
          <w:p w14:paraId="5282EF6A" w14:textId="77777777" w:rsidR="00815310" w:rsidRDefault="00815310" w:rsidP="00815310">
            <w:pPr>
              <w:spacing w:after="0"/>
            </w:pPr>
          </w:p>
          <w:p w14:paraId="764C58B0" w14:textId="4E0FB5EE" w:rsidR="00815310" w:rsidRPr="006C41A0" w:rsidRDefault="00815310" w:rsidP="00CA6F25">
            <w:pPr>
              <w:spacing w:after="0"/>
            </w:pPr>
            <w:r>
              <w:t xml:space="preserve">Limitations on the type, scale and location of stand-alone non-industrial uses ensures </w:t>
            </w:r>
            <w:r w:rsidR="004A6975">
              <w:t xml:space="preserve">that </w:t>
            </w:r>
            <w:r>
              <w:t xml:space="preserve">appropriate uses can be accommodated in a manner supporting industrial businesses and workers, while ensuring </w:t>
            </w:r>
            <w:r w:rsidR="004A6975">
              <w:t xml:space="preserve">that </w:t>
            </w:r>
            <w:r>
              <w:t xml:space="preserve">the ongoing industrial function of an area is not compromised. </w:t>
            </w:r>
          </w:p>
        </w:tc>
        <w:tc>
          <w:tcPr>
            <w:tcW w:w="540" w:type="pct"/>
          </w:tcPr>
          <w:p w14:paraId="69F352E5" w14:textId="7B4316AA" w:rsidR="00815310" w:rsidRDefault="00815310" w:rsidP="00CA6F25">
            <w:pPr>
              <w:spacing w:after="0"/>
            </w:pPr>
            <w:r>
              <w:t>No Change</w:t>
            </w:r>
          </w:p>
        </w:tc>
      </w:tr>
      <w:tr w:rsidR="002A11BB" w14:paraId="3398F2C5" w14:textId="77777777" w:rsidTr="004419FE">
        <w:trPr>
          <w:trHeight w:val="930"/>
        </w:trPr>
        <w:tc>
          <w:tcPr>
            <w:tcW w:w="587" w:type="pct"/>
          </w:tcPr>
          <w:p w14:paraId="2060C5D8" w14:textId="71171BF8" w:rsidR="0039027D" w:rsidRDefault="002A11BB" w:rsidP="00CA6F25">
            <w:pPr>
              <w:spacing w:after="0"/>
            </w:pPr>
            <w:r>
              <w:t>MK-041</w:t>
            </w:r>
          </w:p>
          <w:p w14:paraId="5A575BC9" w14:textId="141262B0" w:rsidR="002A11BB" w:rsidRDefault="002A11BB" w:rsidP="00CA6F25">
            <w:pPr>
              <w:spacing w:after="0"/>
            </w:pPr>
            <w:r>
              <w:t>MK-053</w:t>
            </w:r>
          </w:p>
        </w:tc>
        <w:tc>
          <w:tcPr>
            <w:tcW w:w="1928" w:type="pct"/>
          </w:tcPr>
          <w:p w14:paraId="21DF1B86" w14:textId="71BC11E9" w:rsidR="002A11BB" w:rsidRDefault="00A1450E" w:rsidP="002A11BB">
            <w:pPr>
              <w:spacing w:after="0"/>
            </w:pPr>
            <w:r>
              <w:t>The s</w:t>
            </w:r>
            <w:r w:rsidR="002A11BB">
              <w:t>ubmitters suggest</w:t>
            </w:r>
            <w:r w:rsidR="004A6975">
              <w:t xml:space="preserve"> that</w:t>
            </w:r>
            <w:r w:rsidR="002A11BB">
              <w:t>:</w:t>
            </w:r>
          </w:p>
          <w:p w14:paraId="0D5DD92B" w14:textId="6AA995A2" w:rsidR="002A11BB" w:rsidRDefault="00AC1A80" w:rsidP="002A11BB">
            <w:pPr>
              <w:pStyle w:val="ListParagraph"/>
              <w:numPr>
                <w:ilvl w:val="0"/>
                <w:numId w:val="12"/>
              </w:numPr>
              <w:spacing w:after="0"/>
            </w:pPr>
            <w:r>
              <w:t>T</w:t>
            </w:r>
            <w:r w:rsidR="002A11BB" w:rsidRPr="00E01E0F">
              <w:t xml:space="preserve">he amendment does not </w:t>
            </w:r>
            <w:proofErr w:type="spellStart"/>
            <w:r w:rsidR="002A11BB" w:rsidRPr="00E01E0F">
              <w:t>recognise</w:t>
            </w:r>
            <w:proofErr w:type="spellEnd"/>
            <w:r w:rsidR="002A11BB" w:rsidRPr="00E01E0F">
              <w:t xml:space="preserve"> that industrial suburbs are </w:t>
            </w:r>
            <w:r w:rsidR="002A11BB" w:rsidRPr="00F233A4">
              <w:t xml:space="preserve">transitioning to include activated uses after 5pm, including brewery uses with a </w:t>
            </w:r>
            <w:r w:rsidR="002A11BB">
              <w:t>f</w:t>
            </w:r>
            <w:r w:rsidR="002A11BB" w:rsidRPr="00F233A4">
              <w:t xml:space="preserve">ood and </w:t>
            </w:r>
            <w:r w:rsidR="002A11BB">
              <w:t>d</w:t>
            </w:r>
            <w:r w:rsidR="002A11BB" w:rsidRPr="00F233A4">
              <w:t xml:space="preserve">rink </w:t>
            </w:r>
            <w:r w:rsidR="002A11BB">
              <w:t>o</w:t>
            </w:r>
            <w:r w:rsidR="002A11BB" w:rsidRPr="00F233A4">
              <w:t xml:space="preserve">utlet or </w:t>
            </w:r>
            <w:r w:rsidR="002A11BB">
              <w:t>h</w:t>
            </w:r>
            <w:r w:rsidR="002A11BB" w:rsidRPr="00F233A4">
              <w:t xml:space="preserve">otel, which provide a vital contribution to the activation of industrial suburbs, as well as reducing crime and antisocial </w:t>
            </w:r>
            <w:proofErr w:type="spellStart"/>
            <w:r w:rsidR="002A11BB" w:rsidRPr="00F233A4">
              <w:t>behaviours</w:t>
            </w:r>
            <w:proofErr w:type="spellEnd"/>
            <w:r>
              <w:t>.</w:t>
            </w:r>
          </w:p>
          <w:p w14:paraId="64691F76" w14:textId="1A81D2D5" w:rsidR="002A11BB" w:rsidRDefault="00AC1A80" w:rsidP="002A11BB">
            <w:pPr>
              <w:pStyle w:val="ListParagraph"/>
              <w:numPr>
                <w:ilvl w:val="0"/>
                <w:numId w:val="12"/>
              </w:numPr>
              <w:spacing w:after="0"/>
            </w:pPr>
            <w:r>
              <w:t>T</w:t>
            </w:r>
            <w:r w:rsidR="002A11BB" w:rsidRPr="00E01E0F">
              <w:t xml:space="preserve">he peak operating times of these uses, as well as </w:t>
            </w:r>
            <w:r w:rsidR="002A11BB">
              <w:t>i</w:t>
            </w:r>
            <w:r w:rsidR="002A11BB" w:rsidRPr="00E01E0F">
              <w:t>ndoor</w:t>
            </w:r>
            <w:r w:rsidR="002A11BB">
              <w:t xml:space="preserve"> s</w:t>
            </w:r>
            <w:r w:rsidR="002A11BB" w:rsidRPr="00E01E0F">
              <w:t xml:space="preserve">port and </w:t>
            </w:r>
            <w:r w:rsidR="002A11BB">
              <w:t>r</w:t>
            </w:r>
            <w:r w:rsidR="002A11BB" w:rsidRPr="00E01E0F">
              <w:t>ecreation uses, are when other industrial operations have ceased. The changes should reflect more appropriate parking demand for these activities considering the parking available in these zones after 5pm.</w:t>
            </w:r>
          </w:p>
        </w:tc>
        <w:tc>
          <w:tcPr>
            <w:tcW w:w="1945" w:type="pct"/>
            <w:shd w:val="clear" w:color="auto" w:fill="auto"/>
          </w:tcPr>
          <w:p w14:paraId="75D4E11B" w14:textId="7A96940B" w:rsidR="001B7C89" w:rsidRDefault="001B7C89" w:rsidP="001B7C89">
            <w:pPr>
              <w:spacing w:after="0"/>
            </w:pPr>
            <w:r>
              <w:t>Hours of operations for shop, food and drink outlet</w:t>
            </w:r>
            <w:r w:rsidR="00351635">
              <w:t xml:space="preserve">, </w:t>
            </w:r>
            <w:r>
              <w:t xml:space="preserve">indoor sport and recreation </w:t>
            </w:r>
            <w:r w:rsidR="00351635">
              <w:t>and ancillary bar and hotel activities</w:t>
            </w:r>
            <w:r>
              <w:t xml:space="preserve"> are limited in the Low impact industry zone and </w:t>
            </w:r>
            <w:r w:rsidR="00A1450E">
              <w:t>Industry (</w:t>
            </w:r>
            <w:r>
              <w:t>General industry A zone precinct</w:t>
            </w:r>
            <w:r w:rsidR="00A1450E">
              <w:t>)</w:t>
            </w:r>
            <w:r>
              <w:t xml:space="preserve"> to ensure </w:t>
            </w:r>
            <w:r w:rsidR="004A6975">
              <w:t xml:space="preserve">that </w:t>
            </w:r>
            <w:r>
              <w:t xml:space="preserve">operations of non-industrial uses do not result in negative noise impacts on nearby residential zones or sensitive uses. Low impact industry and </w:t>
            </w:r>
            <w:r w:rsidR="00A1450E">
              <w:t>Industry (</w:t>
            </w:r>
            <w:r>
              <w:t>General industry A zone precinct</w:t>
            </w:r>
            <w:r w:rsidR="00A1450E">
              <w:t>)</w:t>
            </w:r>
            <w:r>
              <w:t xml:space="preserve"> land is generally located on the fringe of industrial areas as a transition to adjacent residential land.  </w:t>
            </w:r>
          </w:p>
          <w:p w14:paraId="02CCC977" w14:textId="77777777" w:rsidR="001B7C89" w:rsidRDefault="001B7C89" w:rsidP="001B7C89">
            <w:pPr>
              <w:spacing w:after="0"/>
            </w:pPr>
          </w:p>
          <w:p w14:paraId="2F093D0B" w14:textId="7C73152A" w:rsidR="0093735F" w:rsidRDefault="001B7C89" w:rsidP="001B7C89">
            <w:pPr>
              <w:spacing w:after="0"/>
            </w:pPr>
            <w:r>
              <w:t>Hours of operation for non-industrial uses</w:t>
            </w:r>
            <w:r w:rsidR="0093735F">
              <w:t>, such as shop and food and drink outlet,</w:t>
            </w:r>
            <w:r>
              <w:t xml:space="preserve"> have not been limited in other industrial zones, including the </w:t>
            </w:r>
            <w:proofErr w:type="gramStart"/>
            <w:r w:rsidR="00A1450E">
              <w:t>Industry</w:t>
            </w:r>
            <w:proofErr w:type="gramEnd"/>
            <w:r w:rsidR="00A1450E">
              <w:t xml:space="preserve"> (</w:t>
            </w:r>
            <w:r>
              <w:t xml:space="preserve">General industry B </w:t>
            </w:r>
            <w:r w:rsidR="00A1450E">
              <w:t xml:space="preserve">zone precinct) </w:t>
            </w:r>
            <w:r>
              <w:t xml:space="preserve">and </w:t>
            </w:r>
            <w:r w:rsidR="00A1450E">
              <w:t>Industry (</w:t>
            </w:r>
            <w:r>
              <w:t>General industry C zone precinct</w:t>
            </w:r>
            <w:r w:rsidR="00A1450E">
              <w:t>)</w:t>
            </w:r>
            <w:r>
              <w:t xml:space="preserve">, as </w:t>
            </w:r>
            <w:r>
              <w:lastRenderedPageBreak/>
              <w:t xml:space="preserve">these areas are located with adequate separation to sensitive uses.  </w:t>
            </w:r>
          </w:p>
          <w:p w14:paraId="5119D811" w14:textId="77777777" w:rsidR="005439AF" w:rsidRDefault="005439AF" w:rsidP="001B7C89">
            <w:pPr>
              <w:spacing w:after="0"/>
            </w:pPr>
          </w:p>
          <w:p w14:paraId="6C42D92C" w14:textId="67F2FABF" w:rsidR="00351635" w:rsidRDefault="00351635" w:rsidP="001B7C89">
            <w:pPr>
              <w:spacing w:after="0"/>
            </w:pPr>
            <w:r>
              <w:t>Stand-alone bar and hotel uses are not consistent with the outcomes sought in industry zones.</w:t>
            </w:r>
          </w:p>
          <w:p w14:paraId="56EBF272" w14:textId="77777777" w:rsidR="001B7C89" w:rsidRDefault="001B7C89" w:rsidP="001B7C89">
            <w:pPr>
              <w:spacing w:after="0"/>
            </w:pPr>
          </w:p>
          <w:p w14:paraId="34C0E2C3" w14:textId="0E9F66DF" w:rsidR="001B7C89" w:rsidRDefault="0093735F" w:rsidP="00913B97">
            <w:pPr>
              <w:tabs>
                <w:tab w:val="left" w:pos="1185"/>
              </w:tabs>
              <w:spacing w:after="0"/>
            </w:pPr>
            <w:r w:rsidRPr="002A53B6">
              <w:rPr>
                <w:rFonts w:cs="Arial"/>
                <w:lang w:val="en-AU"/>
              </w:rPr>
              <w:t xml:space="preserve">The request </w:t>
            </w:r>
            <w:r>
              <w:rPr>
                <w:rFonts w:cs="Arial"/>
                <w:lang w:val="en-AU"/>
              </w:rPr>
              <w:t xml:space="preserve">to reduce car parking rates for non-industrial uses </w:t>
            </w:r>
            <w:r w:rsidRPr="002A53B6">
              <w:rPr>
                <w:rFonts w:cs="Arial"/>
                <w:lang w:val="en-AU"/>
              </w:rPr>
              <w:t>is not within the scope of the amendment.</w:t>
            </w:r>
            <w:r>
              <w:rPr>
                <w:rFonts w:cs="Arial"/>
                <w:lang w:val="en-AU"/>
              </w:rPr>
              <w:t xml:space="preserve"> </w:t>
            </w:r>
            <w:r w:rsidR="000C63DB">
              <w:rPr>
                <w:rFonts w:cs="Arial"/>
                <w:lang w:val="en-AU"/>
              </w:rPr>
              <w:t>Changes</w:t>
            </w:r>
            <w:r>
              <w:rPr>
                <w:rFonts w:cs="Arial"/>
                <w:lang w:val="en-AU"/>
              </w:rPr>
              <w:t xml:space="preserve"> to car parking rates as part of this amendment are limited to warehouse. </w:t>
            </w:r>
          </w:p>
          <w:p w14:paraId="66C817D9" w14:textId="186FD5CD" w:rsidR="001B7C89" w:rsidRDefault="001B7C89" w:rsidP="0093735F">
            <w:pPr>
              <w:spacing w:after="0"/>
            </w:pPr>
            <w:r>
              <w:t xml:space="preserve"> </w:t>
            </w:r>
          </w:p>
          <w:p w14:paraId="2FE8CBDB" w14:textId="7F7914E8" w:rsidR="002A11BB" w:rsidRPr="006C41A0" w:rsidRDefault="001B7C89" w:rsidP="0093735F">
            <w:pPr>
              <w:spacing w:after="0"/>
            </w:pPr>
            <w:r>
              <w:t xml:space="preserve">Alternative hours of operation and car parking rates can be proposed where an application can demonstrate </w:t>
            </w:r>
            <w:r w:rsidR="004A6975">
              <w:t xml:space="preserve">that </w:t>
            </w:r>
            <w:r>
              <w:t xml:space="preserve">alternative solutions satisfy the applicable </w:t>
            </w:r>
            <w:r w:rsidR="000C63DB">
              <w:t>assessment benchmarks</w:t>
            </w:r>
            <w:r>
              <w:t xml:space="preserve">.  </w:t>
            </w:r>
          </w:p>
        </w:tc>
        <w:tc>
          <w:tcPr>
            <w:tcW w:w="540" w:type="pct"/>
          </w:tcPr>
          <w:p w14:paraId="10E1702C" w14:textId="1D4101EE" w:rsidR="002A11BB" w:rsidRDefault="001B7C89" w:rsidP="00CA6F25">
            <w:pPr>
              <w:spacing w:after="0"/>
            </w:pPr>
            <w:r>
              <w:lastRenderedPageBreak/>
              <w:t>No change</w:t>
            </w:r>
          </w:p>
        </w:tc>
      </w:tr>
      <w:tr w:rsidR="00F301A8" w14:paraId="0648E7C5" w14:textId="77777777" w:rsidTr="004419FE">
        <w:tc>
          <w:tcPr>
            <w:tcW w:w="587" w:type="pct"/>
          </w:tcPr>
          <w:p w14:paraId="52BC529D" w14:textId="3E92180D" w:rsidR="007E610B" w:rsidRDefault="00F301A8" w:rsidP="00C04B00">
            <w:pPr>
              <w:keepNext/>
              <w:keepLines/>
              <w:spacing w:after="0"/>
            </w:pPr>
            <w:r>
              <w:lastRenderedPageBreak/>
              <w:t>MK-041</w:t>
            </w:r>
          </w:p>
          <w:p w14:paraId="0CD764D9" w14:textId="05FAFCB4" w:rsidR="007E610B" w:rsidRDefault="00F301A8" w:rsidP="00C04B00">
            <w:pPr>
              <w:keepNext/>
              <w:keepLines/>
              <w:spacing w:after="0"/>
            </w:pPr>
            <w:r>
              <w:t>MK-042</w:t>
            </w:r>
          </w:p>
          <w:p w14:paraId="4C503E4F" w14:textId="1DBA3D89" w:rsidR="00F301A8" w:rsidRDefault="00F301A8" w:rsidP="00C04B00">
            <w:pPr>
              <w:keepNext/>
              <w:keepLines/>
              <w:spacing w:after="0"/>
            </w:pPr>
            <w:r>
              <w:t>MK-053</w:t>
            </w:r>
          </w:p>
        </w:tc>
        <w:tc>
          <w:tcPr>
            <w:tcW w:w="1928" w:type="pct"/>
            <w:shd w:val="clear" w:color="auto" w:fill="auto"/>
          </w:tcPr>
          <w:p w14:paraId="75D5DC63" w14:textId="5E6D45BA" w:rsidR="00F301A8" w:rsidRDefault="00060792" w:rsidP="00C04B00">
            <w:pPr>
              <w:keepNext/>
              <w:keepLines/>
              <w:spacing w:after="0"/>
            </w:pPr>
            <w:r>
              <w:t>The s</w:t>
            </w:r>
            <w:r w:rsidR="00F301A8">
              <w:t xml:space="preserve">ubmitters </w:t>
            </w:r>
            <w:r w:rsidR="00F301A8" w:rsidRPr="007F2DD7">
              <w:t xml:space="preserve">support the inclusion of non-industrial uses of </w:t>
            </w:r>
            <w:r w:rsidR="006B471B">
              <w:t>i</w:t>
            </w:r>
            <w:r w:rsidR="00F301A8" w:rsidRPr="007F2DD7">
              <w:t xml:space="preserve">ndoor sport and recreation, </w:t>
            </w:r>
            <w:r w:rsidR="006B471B">
              <w:t>w</w:t>
            </w:r>
            <w:r w:rsidR="00F301A8" w:rsidRPr="007F2DD7">
              <w:t xml:space="preserve">arehouse, and </w:t>
            </w:r>
            <w:r w:rsidR="006B471B">
              <w:t>r</w:t>
            </w:r>
            <w:r w:rsidR="00F301A8" w:rsidRPr="007F2DD7">
              <w:t xml:space="preserve">esearch and technology industry </w:t>
            </w:r>
            <w:proofErr w:type="gramStart"/>
            <w:r w:rsidR="00F301A8" w:rsidRPr="007F2DD7">
              <w:t>uses</w:t>
            </w:r>
            <w:proofErr w:type="gramEnd"/>
            <w:r w:rsidR="00F301A8" w:rsidRPr="007F2DD7">
              <w:t xml:space="preserve"> in industrial zones, however</w:t>
            </w:r>
            <w:r w:rsidR="00F301A8">
              <w:t>:</w:t>
            </w:r>
            <w:r w:rsidR="00F301A8" w:rsidRPr="007F2DD7">
              <w:t xml:space="preserve"> </w:t>
            </w:r>
          </w:p>
          <w:p w14:paraId="2874C803" w14:textId="018200FC" w:rsidR="00F301A8" w:rsidRDefault="006F3F07" w:rsidP="00C04B00">
            <w:pPr>
              <w:pStyle w:val="ListParagraph"/>
              <w:keepNext/>
              <w:keepLines/>
              <w:numPr>
                <w:ilvl w:val="0"/>
                <w:numId w:val="14"/>
              </w:numPr>
              <w:spacing w:after="0"/>
            </w:pPr>
            <w:r>
              <w:t>T</w:t>
            </w:r>
            <w:r w:rsidR="00F301A8">
              <w:t>here are concerns with t</w:t>
            </w:r>
            <w:r w:rsidR="00F301A8" w:rsidRPr="00E01E0F">
              <w:t xml:space="preserve">he </w:t>
            </w:r>
            <w:r w:rsidR="00F301A8">
              <w:t>size</w:t>
            </w:r>
            <w:r w:rsidR="00F301A8" w:rsidRPr="00E01E0F">
              <w:t xml:space="preserve"> and separation distances for </w:t>
            </w:r>
            <w:r w:rsidR="00F301A8">
              <w:t xml:space="preserve">the </w:t>
            </w:r>
            <w:r w:rsidR="00F301A8" w:rsidRPr="00E01E0F">
              <w:t>small-scale non-industrial uses</w:t>
            </w:r>
            <w:r w:rsidR="00AC1A80">
              <w:t>.</w:t>
            </w:r>
            <w:r w:rsidR="00F301A8">
              <w:t xml:space="preserve"> </w:t>
            </w:r>
          </w:p>
          <w:p w14:paraId="2329F348" w14:textId="736C8196" w:rsidR="00F301A8" w:rsidRDefault="006F3F07" w:rsidP="00C04B00">
            <w:pPr>
              <w:pStyle w:val="ListParagraph"/>
              <w:keepNext/>
              <w:keepLines/>
              <w:numPr>
                <w:ilvl w:val="0"/>
                <w:numId w:val="14"/>
              </w:numPr>
              <w:spacing w:after="0"/>
            </w:pPr>
            <w:r>
              <w:t>T</w:t>
            </w:r>
            <w:r w:rsidR="00F301A8">
              <w:t>he limitations</w:t>
            </w:r>
            <w:r w:rsidR="00F301A8" w:rsidRPr="00E01E0F">
              <w:t xml:space="preserve"> do not enable flexibility, but rather inhibit the establishment of uses that are ancillary to and directly support industrial uses, which does not serve to protect or enhance the industrial sector or facilitate logical development of these area</w:t>
            </w:r>
            <w:r w:rsidR="00AC1A80">
              <w:t>.</w:t>
            </w:r>
          </w:p>
          <w:p w14:paraId="09AF4A69" w14:textId="395B8E1A" w:rsidR="00F301A8" w:rsidRPr="008A4724" w:rsidRDefault="006F3F07" w:rsidP="00C04B00">
            <w:pPr>
              <w:pStyle w:val="ListParagraph"/>
              <w:keepNext/>
              <w:keepLines/>
              <w:numPr>
                <w:ilvl w:val="0"/>
                <w:numId w:val="12"/>
              </w:numPr>
              <w:spacing w:after="0"/>
            </w:pPr>
            <w:r>
              <w:t>T</w:t>
            </w:r>
            <w:r w:rsidR="00F301A8" w:rsidRPr="007F2DD7">
              <w:t>he provisions will exclude establishments that are not able to find practical, cost</w:t>
            </w:r>
            <w:r w:rsidR="00F82CD4">
              <w:t>-</w:t>
            </w:r>
            <w:r w:rsidR="00F301A8" w:rsidRPr="007F2DD7">
              <w:t xml:space="preserve">effective locations elsewhere in the city, </w:t>
            </w:r>
            <w:r w:rsidR="00F82CD4">
              <w:t xml:space="preserve">and </w:t>
            </w:r>
            <w:r w:rsidR="00F301A8" w:rsidRPr="007F2DD7">
              <w:t>do not provide the needed flexibility for industrial areas. A range of non-industrial uses are seeking locations in industrial areas, and others are a 'secondary' function to an industrial use but may take up more floor space that the primary function</w:t>
            </w:r>
            <w:r w:rsidR="004A6975">
              <w:t>,</w:t>
            </w:r>
            <w:r w:rsidR="00F301A8" w:rsidRPr="007F2DD7">
              <w:t xml:space="preserve"> but still require separation from sensitive uses.</w:t>
            </w:r>
          </w:p>
        </w:tc>
        <w:tc>
          <w:tcPr>
            <w:tcW w:w="1945" w:type="pct"/>
            <w:shd w:val="clear" w:color="auto" w:fill="auto"/>
          </w:tcPr>
          <w:p w14:paraId="270DDEFE" w14:textId="0867536A" w:rsidR="006C64D3" w:rsidRDefault="006C64D3" w:rsidP="00C04B00">
            <w:pPr>
              <w:keepNext/>
              <w:keepLines/>
              <w:spacing w:after="0"/>
              <w:rPr>
                <w:rFonts w:eastAsia="SimSun"/>
                <w:lang w:eastAsia="ja-JP"/>
              </w:rPr>
            </w:pPr>
            <w:r>
              <w:rPr>
                <w:rFonts w:eastAsia="SimSun"/>
                <w:lang w:eastAsia="ja-JP"/>
              </w:rPr>
              <w:t>Support for</w:t>
            </w:r>
            <w:r w:rsidRPr="007F2DD7">
              <w:t xml:space="preserve"> the inclusion of non-industrial uses in industrial zones</w:t>
            </w:r>
            <w:r>
              <w:rPr>
                <w:rFonts w:eastAsia="SimSun"/>
                <w:lang w:eastAsia="ja-JP"/>
              </w:rPr>
              <w:t xml:space="preserve"> is</w:t>
            </w:r>
            <w:r w:rsidRPr="007A30DC">
              <w:rPr>
                <w:rFonts w:eastAsia="SimSun"/>
                <w:lang w:eastAsia="ja-JP"/>
              </w:rPr>
              <w:t xml:space="preserve"> noted.</w:t>
            </w:r>
          </w:p>
          <w:p w14:paraId="3F4CB40A" w14:textId="77777777" w:rsidR="00C04B00" w:rsidRPr="00913B97" w:rsidRDefault="00C04B00" w:rsidP="00C04B00">
            <w:pPr>
              <w:keepNext/>
              <w:keepLines/>
              <w:spacing w:after="0"/>
              <w:rPr>
                <w:rFonts w:eastAsia="SimSun"/>
                <w:lang w:eastAsia="ja-JP"/>
              </w:rPr>
            </w:pPr>
          </w:p>
          <w:p w14:paraId="6222FE05" w14:textId="4EBF41E7" w:rsidR="00B24569" w:rsidRPr="00BD3F4B" w:rsidRDefault="00F301A8" w:rsidP="00C04B00">
            <w:pPr>
              <w:keepNext/>
              <w:keepLines/>
              <w:spacing w:after="0"/>
            </w:pPr>
            <w:r>
              <w:t xml:space="preserve">The proposed </w:t>
            </w:r>
            <w:r w:rsidR="006C64D3">
              <w:t xml:space="preserve">amendment </w:t>
            </w:r>
            <w:r>
              <w:t>seek</w:t>
            </w:r>
            <w:r w:rsidR="006C64D3">
              <w:t>s</w:t>
            </w:r>
            <w:r>
              <w:t xml:space="preserve"> to clarify the non-industrial uses that may be accommodated in industrial zones as stand-alone uses. The proposed </w:t>
            </w:r>
            <w:r w:rsidR="006C64D3">
              <w:t>amendment</w:t>
            </w:r>
            <w:r>
              <w:t xml:space="preserve"> do</w:t>
            </w:r>
            <w:r w:rsidR="006C64D3">
              <w:t>es</w:t>
            </w:r>
            <w:r>
              <w:t xml:space="preserve"> not limit opportunities for non-industrial ancillary </w:t>
            </w:r>
            <w:r w:rsidR="00351635">
              <w:t>activities</w:t>
            </w:r>
            <w:r>
              <w:t xml:space="preserve"> to be accommodated in industrial zones, where a direct nexus to an industrial use can be </w:t>
            </w:r>
            <w:r w:rsidRPr="00BD3F4B">
              <w:t>demonstrated</w:t>
            </w:r>
            <w:r w:rsidR="00FD4A10" w:rsidRPr="00BD3F4B">
              <w:t xml:space="preserve"> or the use is not adequately provided for elsewhere in the city</w:t>
            </w:r>
            <w:r w:rsidRPr="00BD3F4B">
              <w:t>.</w:t>
            </w:r>
          </w:p>
          <w:p w14:paraId="51B873A0" w14:textId="77777777" w:rsidR="00913B97" w:rsidRPr="00BD3F4B" w:rsidRDefault="00913B97" w:rsidP="00C04B00">
            <w:pPr>
              <w:keepNext/>
              <w:keepLines/>
              <w:spacing w:after="0"/>
            </w:pPr>
          </w:p>
          <w:p w14:paraId="72ED5154" w14:textId="38EE2160" w:rsidR="00B55D84" w:rsidRPr="00BD3F4B" w:rsidRDefault="00B55D84" w:rsidP="00C04B00">
            <w:pPr>
              <w:keepNext/>
              <w:keepLines/>
              <w:spacing w:after="0"/>
            </w:pPr>
            <w:r w:rsidRPr="00BD3F4B">
              <w:t xml:space="preserve">Limitations on the type, scale and location of stand-alone non-industrial uses ensure </w:t>
            </w:r>
            <w:r w:rsidR="004A6975" w:rsidRPr="00BD3F4B">
              <w:t xml:space="preserve">that </w:t>
            </w:r>
            <w:r w:rsidRPr="00BD3F4B">
              <w:t xml:space="preserve">appropriate uses can be accommodated in a manner supporting industrial businesses and workers, while ensuring </w:t>
            </w:r>
            <w:r w:rsidR="004A6975" w:rsidRPr="00BD3F4B">
              <w:t xml:space="preserve">that </w:t>
            </w:r>
            <w:r w:rsidRPr="00BD3F4B">
              <w:t>the ongoing industrial function of an area is not compromised.</w:t>
            </w:r>
          </w:p>
          <w:p w14:paraId="446EC6B2" w14:textId="74A8F8F5" w:rsidR="00B55D84" w:rsidRPr="00BD3F4B" w:rsidRDefault="00B55D84" w:rsidP="00C04B00">
            <w:pPr>
              <w:keepNext/>
              <w:keepLines/>
              <w:spacing w:after="0"/>
            </w:pPr>
          </w:p>
          <w:p w14:paraId="161CCBF0" w14:textId="5DD0F3C8" w:rsidR="00FB2734" w:rsidRPr="00BD3F4B" w:rsidRDefault="00B55D84" w:rsidP="00C04B00">
            <w:pPr>
              <w:keepNext/>
              <w:keepLines/>
              <w:spacing w:after="0"/>
            </w:pPr>
            <w:r w:rsidRPr="00BD3F4B">
              <w:t>Separation distances ensure</w:t>
            </w:r>
            <w:r w:rsidR="004A6975" w:rsidRPr="00BD3F4B">
              <w:t xml:space="preserve"> that</w:t>
            </w:r>
            <w:r w:rsidRPr="00BD3F4B">
              <w:t xml:space="preserve"> </w:t>
            </w:r>
            <w:r w:rsidR="00FB2734" w:rsidRPr="00BD3F4B">
              <w:t xml:space="preserve">development does not result in the clustering of non-industrial uses and unplanned </w:t>
            </w:r>
            <w:proofErr w:type="spellStart"/>
            <w:r w:rsidR="00FB2734" w:rsidRPr="00BD3F4B">
              <w:t>centres</w:t>
            </w:r>
            <w:proofErr w:type="spellEnd"/>
            <w:r w:rsidR="00FB2734" w:rsidRPr="00BD3F4B">
              <w:t>.</w:t>
            </w:r>
          </w:p>
          <w:p w14:paraId="341A50B3" w14:textId="32D60158" w:rsidR="00B55D84" w:rsidRPr="00BD3F4B" w:rsidRDefault="00B55D84" w:rsidP="00C04B00">
            <w:pPr>
              <w:keepNext/>
              <w:keepLines/>
              <w:spacing w:after="0"/>
            </w:pPr>
          </w:p>
          <w:p w14:paraId="0C8C78E4" w14:textId="2E6B84C9" w:rsidR="00F301A8" w:rsidRDefault="00B55D84" w:rsidP="00C04B00">
            <w:pPr>
              <w:keepNext/>
              <w:keepLines/>
              <w:spacing w:after="0"/>
            </w:pPr>
            <w:r w:rsidRPr="00BD3F4B">
              <w:rPr>
                <w:rFonts w:eastAsia="SimSun" w:cs="Arial"/>
                <w:color w:val="000000"/>
                <w:lang w:eastAsia="ja-JP"/>
              </w:rPr>
              <w:t>In response to submissions, changes are proposed to further clarify where non-industrial uses may be accommodated.</w:t>
            </w:r>
          </w:p>
        </w:tc>
        <w:tc>
          <w:tcPr>
            <w:tcW w:w="540" w:type="pct"/>
          </w:tcPr>
          <w:p w14:paraId="040671D0" w14:textId="1163CEC3" w:rsidR="00F301A8" w:rsidRDefault="00B55D84" w:rsidP="00C04B00">
            <w:pPr>
              <w:keepNext/>
              <w:keepLines/>
              <w:spacing w:after="0"/>
            </w:pPr>
            <w:r>
              <w:t>Change</w:t>
            </w:r>
          </w:p>
        </w:tc>
      </w:tr>
      <w:tr w:rsidR="00F301A8" w14:paraId="75DCFE75" w14:textId="77777777" w:rsidTr="004419FE">
        <w:tc>
          <w:tcPr>
            <w:tcW w:w="587" w:type="pct"/>
          </w:tcPr>
          <w:p w14:paraId="35F034AD" w14:textId="1D6BD8E4" w:rsidR="00F301A8" w:rsidRDefault="00F301A8" w:rsidP="002D0222">
            <w:pPr>
              <w:spacing w:after="0"/>
            </w:pPr>
            <w:r>
              <w:t>MK-056</w:t>
            </w:r>
          </w:p>
        </w:tc>
        <w:tc>
          <w:tcPr>
            <w:tcW w:w="1928" w:type="pct"/>
          </w:tcPr>
          <w:p w14:paraId="5B21AEF5" w14:textId="6A6F550B" w:rsidR="00F301A8" w:rsidRPr="00E01E0F" w:rsidRDefault="00060792" w:rsidP="00D73CF8">
            <w:pPr>
              <w:spacing w:after="0"/>
            </w:pPr>
            <w:r>
              <w:t>The s</w:t>
            </w:r>
            <w:r w:rsidR="00F301A8" w:rsidRPr="006D49A9">
              <w:t xml:space="preserve">ubmitter recommends changes to some of the provisions to ensure </w:t>
            </w:r>
            <w:r w:rsidR="004A6975">
              <w:t xml:space="preserve">that </w:t>
            </w:r>
            <w:r w:rsidR="00F301A8" w:rsidRPr="006D49A9">
              <w:t xml:space="preserve">small-scale non-industrial uses do not have a detrimental impact on the ongoing operation of existing or intended industries in the </w:t>
            </w:r>
            <w:proofErr w:type="gramStart"/>
            <w:r w:rsidR="00F301A8" w:rsidRPr="006D49A9">
              <w:t>Industry</w:t>
            </w:r>
            <w:proofErr w:type="gramEnd"/>
            <w:r w:rsidR="00F301A8" w:rsidRPr="006D49A9">
              <w:t xml:space="preserve"> zones.</w:t>
            </w:r>
          </w:p>
        </w:tc>
        <w:tc>
          <w:tcPr>
            <w:tcW w:w="1945" w:type="pct"/>
            <w:shd w:val="clear" w:color="auto" w:fill="FFFFFF" w:themeFill="background1"/>
          </w:tcPr>
          <w:p w14:paraId="77A46DC2" w14:textId="2E559767" w:rsidR="00F301A8" w:rsidRDefault="00FB2734" w:rsidP="002D0222">
            <w:pPr>
              <w:spacing w:after="0"/>
            </w:pPr>
            <w:r>
              <w:t xml:space="preserve">Limitations on the type, </w:t>
            </w:r>
            <w:proofErr w:type="gramStart"/>
            <w:r>
              <w:t>scale</w:t>
            </w:r>
            <w:proofErr w:type="gramEnd"/>
            <w:r>
              <w:t xml:space="preserve"> and location of stand</w:t>
            </w:r>
            <w:r w:rsidR="00C04B00">
              <w:noBreakHyphen/>
            </w:r>
            <w:r>
              <w:t xml:space="preserve">alone non-industrial uses ensure </w:t>
            </w:r>
            <w:r w:rsidR="004A6975">
              <w:t xml:space="preserve">that </w:t>
            </w:r>
            <w:r>
              <w:t xml:space="preserve">appropriate uses can be accommodated in a manner supporting industrial businesses and workers, while ensuring </w:t>
            </w:r>
            <w:r w:rsidR="004A6975">
              <w:t xml:space="preserve">that </w:t>
            </w:r>
            <w:r>
              <w:t>the ongoing industrial function of an area is not compromised.</w:t>
            </w:r>
          </w:p>
          <w:p w14:paraId="7F928FF5" w14:textId="2369465C" w:rsidR="000433F3" w:rsidRDefault="000433F3" w:rsidP="002D0222">
            <w:pPr>
              <w:spacing w:after="0"/>
            </w:pPr>
          </w:p>
          <w:p w14:paraId="5E52AE04" w14:textId="06D0C120" w:rsidR="006C64D3" w:rsidRDefault="00081666" w:rsidP="00081666">
            <w:pPr>
              <w:spacing w:after="0"/>
            </w:pPr>
            <w:r>
              <w:t>The proposed amendment includes m</w:t>
            </w:r>
            <w:r w:rsidRPr="00081666">
              <w:t xml:space="preserve">inimum separation distances </w:t>
            </w:r>
            <w:r w:rsidR="00FB2734">
              <w:t>between</w:t>
            </w:r>
            <w:r w:rsidRPr="00081666">
              <w:t xml:space="preserve"> </w:t>
            </w:r>
            <w:r w:rsidR="00047B47">
              <w:t>i</w:t>
            </w:r>
            <w:r w:rsidRPr="00081666">
              <w:t xml:space="preserve">ndoor sport and recreation </w:t>
            </w:r>
            <w:r w:rsidR="00FB2734">
              <w:t>and</w:t>
            </w:r>
            <w:r>
              <w:t xml:space="preserve"> </w:t>
            </w:r>
            <w:r w:rsidR="00047B47">
              <w:t>m</w:t>
            </w:r>
            <w:r>
              <w:t xml:space="preserve">edium impact industry, </w:t>
            </w:r>
            <w:r w:rsidR="00047B47">
              <w:t>h</w:t>
            </w:r>
            <w:r>
              <w:t xml:space="preserve">igh impact industry and </w:t>
            </w:r>
            <w:r w:rsidR="00047B47">
              <w:t>s</w:t>
            </w:r>
            <w:r>
              <w:t xml:space="preserve">pecial industry </w:t>
            </w:r>
            <w:r w:rsidR="00815310">
              <w:t>uses</w:t>
            </w:r>
            <w:r w:rsidR="00FB2734">
              <w:t xml:space="preserve">. This </w:t>
            </w:r>
            <w:r>
              <w:t>ensure</w:t>
            </w:r>
            <w:r w:rsidR="00FB2734">
              <w:t>s</w:t>
            </w:r>
            <w:r>
              <w:t xml:space="preserve"> </w:t>
            </w:r>
            <w:r w:rsidR="004A6975">
              <w:t xml:space="preserve">that </w:t>
            </w:r>
            <w:r w:rsidR="00047B47">
              <w:t>i</w:t>
            </w:r>
            <w:r>
              <w:t xml:space="preserve">ndoor sport and recreation is </w:t>
            </w:r>
            <w:r w:rsidRPr="00081666">
              <w:t>compatible with nearby existing</w:t>
            </w:r>
            <w:r>
              <w:t xml:space="preserve"> industrial</w:t>
            </w:r>
            <w:r w:rsidRPr="00081666">
              <w:t xml:space="preserve"> uses and does not adversely impact on the continued operation of</w:t>
            </w:r>
            <w:r w:rsidR="00FB2734">
              <w:t xml:space="preserve"> </w:t>
            </w:r>
            <w:r w:rsidRPr="00081666">
              <w:t>uses that have the potential for off-site air emissions</w:t>
            </w:r>
            <w:r>
              <w:t>.</w:t>
            </w:r>
          </w:p>
          <w:p w14:paraId="5B08816C" w14:textId="77777777" w:rsidR="00D11DD8" w:rsidRDefault="00D11DD8" w:rsidP="00081666">
            <w:pPr>
              <w:spacing w:after="0"/>
            </w:pPr>
          </w:p>
          <w:p w14:paraId="47451F9C" w14:textId="3ABEAF21" w:rsidR="00D11DD8" w:rsidRDefault="00D11DD8" w:rsidP="00081666">
            <w:pPr>
              <w:spacing w:after="0"/>
            </w:pPr>
            <w:r w:rsidRPr="006A7507">
              <w:rPr>
                <w:rFonts w:eastAsia="SimSun" w:cs="Arial"/>
                <w:color w:val="000000"/>
                <w:lang w:eastAsia="ja-JP"/>
              </w:rPr>
              <w:lastRenderedPageBreak/>
              <w:t>In response to submissions,</w:t>
            </w:r>
            <w:r>
              <w:rPr>
                <w:rFonts w:eastAsia="SimSun" w:cs="Arial"/>
                <w:color w:val="000000"/>
                <w:lang w:eastAsia="ja-JP"/>
              </w:rPr>
              <w:t xml:space="preserve"> changes are proposed </w:t>
            </w:r>
            <w:r w:rsidR="00FB2734">
              <w:rPr>
                <w:rFonts w:eastAsia="SimSun" w:cs="Arial"/>
                <w:color w:val="000000"/>
                <w:lang w:eastAsia="ja-JP"/>
              </w:rPr>
              <w:t xml:space="preserve">to ensure </w:t>
            </w:r>
            <w:r w:rsidR="004A6975">
              <w:rPr>
                <w:rFonts w:eastAsia="SimSun" w:cs="Arial"/>
                <w:color w:val="000000"/>
                <w:lang w:eastAsia="ja-JP"/>
              </w:rPr>
              <w:t xml:space="preserve">that </w:t>
            </w:r>
            <w:r w:rsidR="00FB2734">
              <w:rPr>
                <w:rFonts w:eastAsia="SimSun" w:cs="Arial"/>
                <w:color w:val="000000"/>
                <w:lang w:eastAsia="ja-JP"/>
              </w:rPr>
              <w:t xml:space="preserve">non-industrial uses do </w:t>
            </w:r>
            <w:r w:rsidR="00FB2734">
              <w:t>not compromise the intended function of an industrial area</w:t>
            </w:r>
            <w:r>
              <w:rPr>
                <w:rFonts w:eastAsia="SimSun" w:cs="Arial"/>
                <w:color w:val="000000"/>
                <w:lang w:eastAsia="ja-JP"/>
              </w:rPr>
              <w:t>.</w:t>
            </w:r>
          </w:p>
        </w:tc>
        <w:tc>
          <w:tcPr>
            <w:tcW w:w="540" w:type="pct"/>
          </w:tcPr>
          <w:p w14:paraId="41DA7C3D" w14:textId="64483A5E" w:rsidR="00F301A8" w:rsidRDefault="00D11DD8" w:rsidP="002D0222">
            <w:pPr>
              <w:spacing w:after="0"/>
            </w:pPr>
            <w:r>
              <w:lastRenderedPageBreak/>
              <w:t>Change</w:t>
            </w:r>
          </w:p>
        </w:tc>
      </w:tr>
      <w:tr w:rsidR="000433F3" w14:paraId="149DBF22" w14:textId="77777777" w:rsidTr="00D84074">
        <w:tc>
          <w:tcPr>
            <w:tcW w:w="5000" w:type="pct"/>
            <w:gridSpan w:val="4"/>
            <w:shd w:val="clear" w:color="auto" w:fill="BFBFBF" w:themeFill="background1" w:themeFillShade="BF"/>
          </w:tcPr>
          <w:p w14:paraId="7855F4D0" w14:textId="24D1C45D" w:rsidR="00F96F57" w:rsidRPr="000433F3" w:rsidRDefault="000433F3" w:rsidP="002D0222">
            <w:pPr>
              <w:spacing w:after="0"/>
              <w:rPr>
                <w:b/>
                <w:bCs/>
                <w:i/>
                <w:iCs/>
              </w:rPr>
            </w:pPr>
            <w:r>
              <w:rPr>
                <w:b/>
                <w:bCs/>
                <w:i/>
                <w:iCs/>
              </w:rPr>
              <w:t xml:space="preserve">Action 3 – Support ‘research and technology industry’ use in the </w:t>
            </w:r>
            <w:proofErr w:type="gramStart"/>
            <w:r>
              <w:rPr>
                <w:b/>
                <w:bCs/>
                <w:i/>
                <w:iCs/>
              </w:rPr>
              <w:t>Mixed use</w:t>
            </w:r>
            <w:proofErr w:type="gramEnd"/>
            <w:r>
              <w:rPr>
                <w:b/>
                <w:bCs/>
                <w:i/>
                <w:iCs/>
              </w:rPr>
              <w:t xml:space="preserve"> zone to facilitate the evolution of advanced manufacturing.</w:t>
            </w:r>
          </w:p>
        </w:tc>
      </w:tr>
      <w:tr w:rsidR="000433F3" w14:paraId="2958F7EA" w14:textId="77777777" w:rsidTr="004419FE">
        <w:tc>
          <w:tcPr>
            <w:tcW w:w="587" w:type="pct"/>
          </w:tcPr>
          <w:p w14:paraId="14A687E6" w14:textId="1AF2DDBF" w:rsidR="000433F3" w:rsidRDefault="000433F3" w:rsidP="002D0222">
            <w:pPr>
              <w:spacing w:after="0"/>
            </w:pPr>
            <w:r>
              <w:t>MK-042</w:t>
            </w:r>
          </w:p>
        </w:tc>
        <w:tc>
          <w:tcPr>
            <w:tcW w:w="1928" w:type="pct"/>
          </w:tcPr>
          <w:p w14:paraId="53B82F70" w14:textId="05F8ED34" w:rsidR="00D73CF8" w:rsidRDefault="007E610B" w:rsidP="00D73CF8">
            <w:pPr>
              <w:spacing w:after="0"/>
            </w:pPr>
            <w:r>
              <w:t>The s</w:t>
            </w:r>
            <w:r w:rsidR="000433F3">
              <w:t>ubmitter support</w:t>
            </w:r>
            <w:r w:rsidR="00B30845">
              <w:t>s</w:t>
            </w:r>
            <w:r w:rsidR="000433F3">
              <w:t xml:space="preserve"> changes in the proposed amendment to permit further research and technology industry uses in industrial zones.</w:t>
            </w:r>
          </w:p>
        </w:tc>
        <w:tc>
          <w:tcPr>
            <w:tcW w:w="1945" w:type="pct"/>
            <w:shd w:val="clear" w:color="auto" w:fill="FFFFFF" w:themeFill="background1"/>
          </w:tcPr>
          <w:p w14:paraId="5C00ADF5" w14:textId="5ECB9902" w:rsidR="000433F3" w:rsidRDefault="000433F3" w:rsidP="002D0222">
            <w:pPr>
              <w:spacing w:after="0"/>
            </w:pPr>
            <w:r>
              <w:t>Support noted.</w:t>
            </w:r>
          </w:p>
        </w:tc>
        <w:tc>
          <w:tcPr>
            <w:tcW w:w="540" w:type="pct"/>
          </w:tcPr>
          <w:p w14:paraId="211E7AC7" w14:textId="42B03737" w:rsidR="000433F3" w:rsidRDefault="000433F3" w:rsidP="002D0222">
            <w:pPr>
              <w:spacing w:after="0"/>
            </w:pPr>
            <w:r>
              <w:t>No change</w:t>
            </w:r>
          </w:p>
        </w:tc>
      </w:tr>
      <w:tr w:rsidR="00F749CD" w14:paraId="2293D33A" w14:textId="77777777" w:rsidTr="00733C3F">
        <w:tc>
          <w:tcPr>
            <w:tcW w:w="5000" w:type="pct"/>
            <w:gridSpan w:val="4"/>
            <w:shd w:val="clear" w:color="auto" w:fill="BFBFBF" w:themeFill="background1" w:themeFillShade="BF"/>
          </w:tcPr>
          <w:p w14:paraId="665D4102" w14:textId="1E66E08E" w:rsidR="00F749CD" w:rsidRDefault="00F749CD" w:rsidP="002D0222">
            <w:pPr>
              <w:spacing w:after="0"/>
            </w:pPr>
            <w:r w:rsidRPr="00EC4566">
              <w:rPr>
                <w:b/>
                <w:bCs/>
                <w:i/>
                <w:iCs/>
              </w:rPr>
              <w:t xml:space="preserve">Action 6 </w:t>
            </w:r>
            <w:r w:rsidR="000433F3">
              <w:rPr>
                <w:b/>
                <w:bCs/>
                <w:i/>
                <w:iCs/>
              </w:rPr>
              <w:t>–</w:t>
            </w:r>
            <w:r w:rsidRPr="00EC4566">
              <w:rPr>
                <w:b/>
                <w:bCs/>
                <w:i/>
                <w:iCs/>
              </w:rPr>
              <w:t xml:space="preserve"> Align car parking rates with contemporary employment densities, technologies and increasing hours of operation.</w:t>
            </w:r>
          </w:p>
        </w:tc>
      </w:tr>
      <w:tr w:rsidR="00EB7659" w14:paraId="4E5AC5D6" w14:textId="77777777" w:rsidTr="004419FE">
        <w:tc>
          <w:tcPr>
            <w:tcW w:w="587" w:type="pct"/>
          </w:tcPr>
          <w:p w14:paraId="6E883EF5" w14:textId="79F17097" w:rsidR="00EB7659" w:rsidRDefault="00EB7659" w:rsidP="00F749CD">
            <w:pPr>
              <w:spacing w:after="0"/>
            </w:pPr>
            <w:r>
              <w:t>MK-016</w:t>
            </w:r>
          </w:p>
          <w:p w14:paraId="7AA31350" w14:textId="5D6F7CDC" w:rsidR="00EB7659" w:rsidRDefault="00EB7659" w:rsidP="00F749CD">
            <w:pPr>
              <w:spacing w:after="0"/>
            </w:pPr>
            <w:r>
              <w:t>MK-037</w:t>
            </w:r>
          </w:p>
          <w:p w14:paraId="03CCE1D6" w14:textId="4F107F3B" w:rsidR="00EB7659" w:rsidRDefault="00EB7659" w:rsidP="00F749CD">
            <w:pPr>
              <w:spacing w:after="0"/>
            </w:pPr>
            <w:r>
              <w:t>MK-039</w:t>
            </w:r>
          </w:p>
          <w:p w14:paraId="3A65A8FA" w14:textId="2D20712A" w:rsidR="00EB7659" w:rsidRDefault="00EB7659" w:rsidP="00F749CD">
            <w:pPr>
              <w:spacing w:after="0"/>
            </w:pPr>
            <w:r>
              <w:t>MK-041</w:t>
            </w:r>
          </w:p>
          <w:p w14:paraId="318B0F90" w14:textId="75D3C402" w:rsidR="00EB7659" w:rsidRDefault="00EB7659" w:rsidP="00F749CD">
            <w:pPr>
              <w:spacing w:after="0"/>
            </w:pPr>
            <w:r>
              <w:t>MK-053</w:t>
            </w:r>
          </w:p>
          <w:p w14:paraId="3CBC04DC" w14:textId="2E289896" w:rsidR="00EB7659" w:rsidRDefault="00EB7659" w:rsidP="00F749CD">
            <w:pPr>
              <w:spacing w:after="0"/>
            </w:pPr>
            <w:r>
              <w:t>MK-054</w:t>
            </w:r>
          </w:p>
          <w:p w14:paraId="37862620" w14:textId="21F37F9C" w:rsidR="00EB7659" w:rsidRDefault="00EB7659" w:rsidP="007E610B">
            <w:pPr>
              <w:spacing w:after="0"/>
            </w:pPr>
          </w:p>
          <w:p w14:paraId="1957CB59" w14:textId="00007F84" w:rsidR="00EB7659" w:rsidRDefault="00EB7659" w:rsidP="00F749CD">
            <w:pPr>
              <w:spacing w:after="0"/>
            </w:pPr>
          </w:p>
        </w:tc>
        <w:tc>
          <w:tcPr>
            <w:tcW w:w="1928" w:type="pct"/>
          </w:tcPr>
          <w:p w14:paraId="16F9BF37" w14:textId="3524C0BB" w:rsidR="00EB7659" w:rsidRDefault="00EB7659" w:rsidP="00F749CD">
            <w:pPr>
              <w:spacing w:after="0"/>
            </w:pPr>
            <w:r>
              <w:t xml:space="preserve">The submitters recommend further reducing car parking rates for warehouses in the Transport, access, </w:t>
            </w:r>
            <w:proofErr w:type="gramStart"/>
            <w:r>
              <w:t>parking</w:t>
            </w:r>
            <w:proofErr w:type="gramEnd"/>
            <w:r>
              <w:t xml:space="preserve"> and servicing planning scheme policy.</w:t>
            </w:r>
          </w:p>
          <w:p w14:paraId="3605B629" w14:textId="2AA54CD3" w:rsidR="00EB7659" w:rsidRDefault="00EB7659" w:rsidP="00F749CD">
            <w:pPr>
              <w:spacing w:after="0"/>
            </w:pPr>
          </w:p>
          <w:p w14:paraId="4BCCA716" w14:textId="7DCFA085" w:rsidR="00EB7659" w:rsidRDefault="00EB7659" w:rsidP="003B133E">
            <w:pPr>
              <w:spacing w:after="0"/>
            </w:pPr>
            <w:r>
              <w:t>The d</w:t>
            </w:r>
            <w:r w:rsidRPr="008D475B">
              <w:t xml:space="preserve">emand for warehouses has a converse relationship to the size of a warehouse, </w:t>
            </w:r>
            <w:r>
              <w:t xml:space="preserve">and </w:t>
            </w:r>
            <w:r w:rsidRPr="008D475B">
              <w:t>there should be additional car parking reductions to provide for an efficient use of land for larger warehouse developments.</w:t>
            </w:r>
          </w:p>
          <w:p w14:paraId="75492804" w14:textId="77777777" w:rsidR="00EB7659" w:rsidRDefault="00EB7659" w:rsidP="003B133E">
            <w:pPr>
              <w:spacing w:after="0"/>
            </w:pPr>
          </w:p>
          <w:p w14:paraId="214E0827" w14:textId="3EC8D28D" w:rsidR="00EB7659" w:rsidRDefault="00EB7659" w:rsidP="003B133E">
            <w:pPr>
              <w:spacing w:after="0"/>
            </w:pPr>
            <w:r>
              <w:t>The following are proposed warehouse car parking rates</w:t>
            </w:r>
            <w:r w:rsidR="00C04B00">
              <w:t>:</w:t>
            </w:r>
          </w:p>
          <w:p w14:paraId="2DBE1824" w14:textId="77777777" w:rsidR="00EB7659" w:rsidRDefault="00EB7659" w:rsidP="003B133E">
            <w:pPr>
              <w:pStyle w:val="ListParagraph"/>
              <w:numPr>
                <w:ilvl w:val="0"/>
                <w:numId w:val="13"/>
              </w:numPr>
              <w:spacing w:after="0"/>
              <w:ind w:left="343" w:hanging="283"/>
            </w:pPr>
            <w:r>
              <w:t>Option 1:</w:t>
            </w:r>
          </w:p>
          <w:p w14:paraId="70B0D93E" w14:textId="0CE37A5D" w:rsidR="00EB7659" w:rsidRDefault="00EB7659" w:rsidP="003B133E">
            <w:pPr>
              <w:pStyle w:val="ListParagraph"/>
              <w:numPr>
                <w:ilvl w:val="1"/>
                <w:numId w:val="38"/>
              </w:numPr>
              <w:spacing w:after="0"/>
              <w:ind w:left="626"/>
            </w:pPr>
            <w:r>
              <w:t>1 space per 100</w:t>
            </w:r>
            <w:r w:rsidR="004A6975">
              <w:t> </w:t>
            </w:r>
            <w:r>
              <w:t>m</w:t>
            </w:r>
            <w:r w:rsidRPr="008D475B">
              <w:rPr>
                <w:vertAlign w:val="superscript"/>
              </w:rPr>
              <w:t>2</w:t>
            </w:r>
            <w:r>
              <w:t xml:space="preserve"> gross floor area (GFA) where below 5,000</w:t>
            </w:r>
            <w:r w:rsidR="004A6975">
              <w:t> </w:t>
            </w:r>
            <w:r>
              <w:t>m</w:t>
            </w:r>
            <w:r w:rsidRPr="008D475B">
              <w:rPr>
                <w:vertAlign w:val="superscript"/>
              </w:rPr>
              <w:t>2</w:t>
            </w:r>
            <w:r>
              <w:t xml:space="preserve"> GFA.</w:t>
            </w:r>
          </w:p>
          <w:p w14:paraId="4B8B1A41" w14:textId="7DF35963" w:rsidR="00EB7659" w:rsidRDefault="00EB7659" w:rsidP="003B133E">
            <w:pPr>
              <w:pStyle w:val="ListParagraph"/>
              <w:numPr>
                <w:ilvl w:val="1"/>
                <w:numId w:val="38"/>
              </w:numPr>
              <w:spacing w:after="0"/>
              <w:ind w:left="626"/>
            </w:pPr>
            <w:r>
              <w:t>1 space per 150</w:t>
            </w:r>
            <w:r w:rsidR="004A6975">
              <w:t> </w:t>
            </w:r>
            <w:r>
              <w:t>m</w:t>
            </w:r>
            <w:r w:rsidRPr="006908E6">
              <w:rPr>
                <w:vertAlign w:val="superscript"/>
              </w:rPr>
              <w:t>2</w:t>
            </w:r>
            <w:r>
              <w:t xml:space="preserve"> GFA where over 5,000</w:t>
            </w:r>
            <w:r w:rsidR="004A6975">
              <w:t> </w:t>
            </w:r>
            <w:r>
              <w:t>m</w:t>
            </w:r>
            <w:r w:rsidRPr="006908E6">
              <w:rPr>
                <w:vertAlign w:val="superscript"/>
              </w:rPr>
              <w:t>2</w:t>
            </w:r>
            <w:r>
              <w:t xml:space="preserve"> GFA.</w:t>
            </w:r>
          </w:p>
          <w:p w14:paraId="327B1DD5" w14:textId="099D23AA" w:rsidR="00EB7659" w:rsidRDefault="00EB7659" w:rsidP="003B133E">
            <w:pPr>
              <w:pStyle w:val="ListParagraph"/>
              <w:numPr>
                <w:ilvl w:val="1"/>
                <w:numId w:val="38"/>
              </w:numPr>
              <w:spacing w:after="0"/>
              <w:ind w:left="626"/>
            </w:pPr>
            <w:r>
              <w:t>1 space per 200</w:t>
            </w:r>
            <w:r w:rsidR="004A6975">
              <w:t> </w:t>
            </w:r>
            <w:r>
              <w:t>m</w:t>
            </w:r>
            <w:r w:rsidRPr="006908E6">
              <w:rPr>
                <w:vertAlign w:val="superscript"/>
              </w:rPr>
              <w:t>2</w:t>
            </w:r>
            <w:r>
              <w:t xml:space="preserve"> GFA where over 10,000</w:t>
            </w:r>
            <w:r w:rsidR="004A6975">
              <w:t> </w:t>
            </w:r>
            <w:r>
              <w:t>m</w:t>
            </w:r>
            <w:r w:rsidRPr="006908E6">
              <w:rPr>
                <w:vertAlign w:val="superscript"/>
              </w:rPr>
              <w:t>2</w:t>
            </w:r>
            <w:r>
              <w:t xml:space="preserve"> GFA.</w:t>
            </w:r>
          </w:p>
          <w:p w14:paraId="383455A3" w14:textId="77777777" w:rsidR="00EB7659" w:rsidRDefault="00EB7659" w:rsidP="003B133E">
            <w:pPr>
              <w:pStyle w:val="ListParagraph"/>
              <w:numPr>
                <w:ilvl w:val="0"/>
                <w:numId w:val="13"/>
              </w:numPr>
              <w:spacing w:after="0"/>
              <w:ind w:left="343" w:hanging="284"/>
            </w:pPr>
            <w:r>
              <w:t>Option 2:</w:t>
            </w:r>
          </w:p>
          <w:p w14:paraId="4AC61F36" w14:textId="5043D32C" w:rsidR="00EB7659" w:rsidRDefault="00EB7659" w:rsidP="003B133E">
            <w:pPr>
              <w:pStyle w:val="ListParagraph"/>
              <w:numPr>
                <w:ilvl w:val="1"/>
                <w:numId w:val="39"/>
              </w:numPr>
              <w:spacing w:after="0"/>
              <w:ind w:left="626"/>
            </w:pPr>
            <w:r>
              <w:t>1 space per 100</w:t>
            </w:r>
            <w:r w:rsidR="004A6975">
              <w:t> </w:t>
            </w:r>
            <w:r>
              <w:t>m</w:t>
            </w:r>
            <w:r w:rsidRPr="006908E6">
              <w:rPr>
                <w:vertAlign w:val="superscript"/>
              </w:rPr>
              <w:t>2</w:t>
            </w:r>
            <w:r>
              <w:t xml:space="preserve"> GFA where below 7,500</w:t>
            </w:r>
            <w:r w:rsidR="004A6975">
              <w:t> </w:t>
            </w:r>
            <w:r>
              <w:t>m</w:t>
            </w:r>
            <w:r w:rsidRPr="006908E6">
              <w:rPr>
                <w:vertAlign w:val="superscript"/>
              </w:rPr>
              <w:t>2</w:t>
            </w:r>
            <w:r>
              <w:t xml:space="preserve"> GFA.</w:t>
            </w:r>
          </w:p>
          <w:p w14:paraId="2DA84205" w14:textId="5BA50A52" w:rsidR="00EB7659" w:rsidRDefault="00EB7659" w:rsidP="003B133E">
            <w:pPr>
              <w:pStyle w:val="ListParagraph"/>
              <w:numPr>
                <w:ilvl w:val="1"/>
                <w:numId w:val="39"/>
              </w:numPr>
              <w:spacing w:after="0"/>
              <w:ind w:left="626"/>
            </w:pPr>
            <w:r>
              <w:t>1 space per 150</w:t>
            </w:r>
            <w:r w:rsidR="004A6975">
              <w:t> </w:t>
            </w:r>
            <w:r>
              <w:t>m</w:t>
            </w:r>
            <w:r w:rsidRPr="006908E6">
              <w:rPr>
                <w:vertAlign w:val="superscript"/>
              </w:rPr>
              <w:t>2</w:t>
            </w:r>
            <w:r>
              <w:t xml:space="preserve"> GFA where over 7,500</w:t>
            </w:r>
            <w:r w:rsidR="004A6975">
              <w:t> </w:t>
            </w:r>
            <w:r>
              <w:t>m</w:t>
            </w:r>
            <w:r w:rsidRPr="006908E6">
              <w:rPr>
                <w:vertAlign w:val="superscript"/>
              </w:rPr>
              <w:t>2</w:t>
            </w:r>
            <w:r>
              <w:t xml:space="preserve"> GFA.</w:t>
            </w:r>
          </w:p>
          <w:p w14:paraId="2AF986C5" w14:textId="71D13EC3" w:rsidR="00EB7659" w:rsidRDefault="00EB7659" w:rsidP="003B133E">
            <w:pPr>
              <w:pStyle w:val="ListParagraph"/>
              <w:numPr>
                <w:ilvl w:val="1"/>
                <w:numId w:val="39"/>
              </w:numPr>
              <w:spacing w:after="0"/>
              <w:ind w:left="626"/>
            </w:pPr>
            <w:r>
              <w:t>1 space per 200</w:t>
            </w:r>
            <w:r w:rsidR="004A6975">
              <w:t> </w:t>
            </w:r>
            <w:r>
              <w:t>m</w:t>
            </w:r>
            <w:r w:rsidRPr="006908E6">
              <w:rPr>
                <w:vertAlign w:val="superscript"/>
              </w:rPr>
              <w:t>2</w:t>
            </w:r>
            <w:r>
              <w:t xml:space="preserve"> GFA where over 15,000</w:t>
            </w:r>
            <w:r w:rsidR="004A6975">
              <w:t> </w:t>
            </w:r>
            <w:r>
              <w:t>m</w:t>
            </w:r>
            <w:r w:rsidRPr="006908E6">
              <w:rPr>
                <w:vertAlign w:val="superscript"/>
              </w:rPr>
              <w:t>2</w:t>
            </w:r>
            <w:r>
              <w:t xml:space="preserve"> GFA.</w:t>
            </w:r>
          </w:p>
          <w:p w14:paraId="41B3FBF3" w14:textId="77777777" w:rsidR="00EB7659" w:rsidRDefault="00EB7659" w:rsidP="00C04B00">
            <w:pPr>
              <w:pStyle w:val="ListParagraph"/>
              <w:keepNext/>
              <w:keepLines/>
              <w:numPr>
                <w:ilvl w:val="0"/>
                <w:numId w:val="13"/>
              </w:numPr>
              <w:spacing w:after="0"/>
              <w:ind w:left="343" w:hanging="301"/>
            </w:pPr>
            <w:r>
              <w:t>Option 3:</w:t>
            </w:r>
          </w:p>
          <w:p w14:paraId="30D55E96" w14:textId="541986B6" w:rsidR="00EB7659" w:rsidRDefault="00EB7659" w:rsidP="00C04B00">
            <w:pPr>
              <w:pStyle w:val="ListParagraph"/>
              <w:keepNext/>
              <w:keepLines/>
              <w:numPr>
                <w:ilvl w:val="1"/>
                <w:numId w:val="41"/>
              </w:numPr>
              <w:spacing w:after="0"/>
            </w:pPr>
            <w:r>
              <w:t>1 space per 200</w:t>
            </w:r>
            <w:r w:rsidR="004A6975">
              <w:t> </w:t>
            </w:r>
            <w:r>
              <w:t>m</w:t>
            </w:r>
            <w:r w:rsidRPr="006908E6">
              <w:rPr>
                <w:vertAlign w:val="superscript"/>
              </w:rPr>
              <w:t>2</w:t>
            </w:r>
            <w:r>
              <w:t xml:space="preserve"> GFA where below 15,000</w:t>
            </w:r>
            <w:r w:rsidR="004A6975">
              <w:t> </w:t>
            </w:r>
            <w:r>
              <w:t>m</w:t>
            </w:r>
            <w:r w:rsidRPr="006908E6">
              <w:rPr>
                <w:vertAlign w:val="superscript"/>
              </w:rPr>
              <w:t>2</w:t>
            </w:r>
            <w:r>
              <w:t xml:space="preserve"> GFA.</w:t>
            </w:r>
          </w:p>
          <w:p w14:paraId="049A7B02" w14:textId="4B5373C4" w:rsidR="00EB7659" w:rsidRDefault="00EB7659" w:rsidP="003B133E">
            <w:pPr>
              <w:pStyle w:val="ListParagraph"/>
              <w:numPr>
                <w:ilvl w:val="1"/>
                <w:numId w:val="41"/>
              </w:numPr>
              <w:spacing w:after="0"/>
            </w:pPr>
            <w:r>
              <w:t>1 space per 250</w:t>
            </w:r>
            <w:r w:rsidR="004A6975">
              <w:t> </w:t>
            </w:r>
            <w:r>
              <w:t>m</w:t>
            </w:r>
            <w:r w:rsidRPr="006908E6">
              <w:rPr>
                <w:vertAlign w:val="superscript"/>
              </w:rPr>
              <w:t>2</w:t>
            </w:r>
            <w:r>
              <w:t xml:space="preserve"> GFA where above 15,000</w:t>
            </w:r>
            <w:r w:rsidR="004A6975">
              <w:t> </w:t>
            </w:r>
            <w:r>
              <w:t>m</w:t>
            </w:r>
            <w:r w:rsidRPr="006908E6">
              <w:rPr>
                <w:vertAlign w:val="superscript"/>
              </w:rPr>
              <w:t>2</w:t>
            </w:r>
            <w:r>
              <w:t xml:space="preserve"> GFA.</w:t>
            </w:r>
          </w:p>
          <w:p w14:paraId="356DBF63" w14:textId="4A72C13D" w:rsidR="00EB7659" w:rsidRDefault="00EB7659" w:rsidP="003B133E">
            <w:pPr>
              <w:pStyle w:val="ListParagraph"/>
              <w:numPr>
                <w:ilvl w:val="1"/>
                <w:numId w:val="41"/>
              </w:numPr>
              <w:spacing w:after="0"/>
            </w:pPr>
            <w:r>
              <w:t>1 space per 300</w:t>
            </w:r>
            <w:r w:rsidR="004A6975">
              <w:t> </w:t>
            </w:r>
            <w:r>
              <w:t>m</w:t>
            </w:r>
            <w:r w:rsidRPr="001D52EE">
              <w:rPr>
                <w:vertAlign w:val="superscript"/>
              </w:rPr>
              <w:t>2</w:t>
            </w:r>
            <w:r>
              <w:t xml:space="preserve"> GFA where above 30,000</w:t>
            </w:r>
            <w:r w:rsidR="004A6975">
              <w:t> </w:t>
            </w:r>
            <w:r>
              <w:t>m</w:t>
            </w:r>
            <w:r w:rsidRPr="001D52EE">
              <w:rPr>
                <w:vertAlign w:val="superscript"/>
              </w:rPr>
              <w:t>2</w:t>
            </w:r>
            <w:r>
              <w:t xml:space="preserve"> GFA.</w:t>
            </w:r>
          </w:p>
          <w:p w14:paraId="0C7424A0" w14:textId="77777777" w:rsidR="00EB7659" w:rsidRDefault="00EB7659" w:rsidP="003B133E">
            <w:pPr>
              <w:spacing w:after="0"/>
            </w:pPr>
          </w:p>
          <w:p w14:paraId="5820D6E5" w14:textId="3F72541C" w:rsidR="00EB7659" w:rsidRDefault="00EB7659" w:rsidP="007E610B">
            <w:pPr>
              <w:spacing w:after="0"/>
            </w:pPr>
            <w:r>
              <w:t>Additional information was provided on approved supply and peak demand at sample sites to support a further reduction in car parking rates for warehouses</w:t>
            </w:r>
            <w:r w:rsidR="00827285">
              <w:t>.</w:t>
            </w:r>
          </w:p>
        </w:tc>
        <w:tc>
          <w:tcPr>
            <w:tcW w:w="1945" w:type="pct"/>
          </w:tcPr>
          <w:p w14:paraId="4BBE7C99" w14:textId="678443E7" w:rsidR="00EB7659" w:rsidRPr="0096517E" w:rsidRDefault="00EB7659" w:rsidP="00B25A80">
            <w:pPr>
              <w:spacing w:after="0"/>
              <w:rPr>
                <w:i/>
                <w:iCs/>
              </w:rPr>
            </w:pPr>
            <w:r>
              <w:t>The comments and suggestions regarding the revised car parking rates for warehouse</w:t>
            </w:r>
            <w:r w:rsidR="00047B47">
              <w:t xml:space="preserve"> use</w:t>
            </w:r>
            <w:r>
              <w:t xml:space="preserve">s in City Plan are noted. </w:t>
            </w:r>
          </w:p>
          <w:p w14:paraId="65BEC63B" w14:textId="77777777" w:rsidR="00EB7659" w:rsidRDefault="00EB7659" w:rsidP="00B25A80">
            <w:pPr>
              <w:spacing w:after="0"/>
              <w:rPr>
                <w:color w:val="000000"/>
                <w:lang w:eastAsia="ja-JP"/>
              </w:rPr>
            </w:pPr>
          </w:p>
          <w:p w14:paraId="5C5D4904" w14:textId="44F12EC4" w:rsidR="00EB7659" w:rsidRDefault="00EB7659" w:rsidP="00B25A80">
            <w:pPr>
              <w:spacing w:after="0"/>
            </w:pPr>
            <w:r>
              <w:rPr>
                <w:color w:val="000000"/>
                <w:lang w:eastAsia="ja-JP"/>
              </w:rPr>
              <w:t xml:space="preserve">The proposed car parking rates have been informed by an </w:t>
            </w:r>
            <w:r w:rsidRPr="005B4550">
              <w:rPr>
                <w:color w:val="000000"/>
                <w:lang w:eastAsia="ja-JP"/>
              </w:rPr>
              <w:t>industrial trend</w:t>
            </w:r>
            <w:r>
              <w:rPr>
                <w:color w:val="000000"/>
                <w:lang w:eastAsia="ja-JP"/>
              </w:rPr>
              <w:t>s</w:t>
            </w:r>
            <w:r w:rsidRPr="005B4550">
              <w:rPr>
                <w:color w:val="000000"/>
                <w:lang w:eastAsia="ja-JP"/>
              </w:rPr>
              <w:t xml:space="preserve"> and demand analysis</w:t>
            </w:r>
            <w:r>
              <w:rPr>
                <w:color w:val="000000"/>
                <w:lang w:eastAsia="ja-JP"/>
              </w:rPr>
              <w:t>.</w:t>
            </w:r>
          </w:p>
          <w:p w14:paraId="511BF4C2" w14:textId="77777777" w:rsidR="00EB7659" w:rsidRDefault="00EB7659" w:rsidP="00B25A80">
            <w:pPr>
              <w:spacing w:after="0"/>
              <w:rPr>
                <w:rFonts w:eastAsia="SimSun" w:cs="Arial"/>
                <w:color w:val="000000"/>
                <w:lang w:eastAsia="ja-JP"/>
              </w:rPr>
            </w:pPr>
          </w:p>
          <w:p w14:paraId="19FD1253" w14:textId="693B4CBF" w:rsidR="00F97518" w:rsidRDefault="00EB7659" w:rsidP="00B25A80">
            <w:pPr>
              <w:spacing w:after="0"/>
              <w:rPr>
                <w:rFonts w:eastAsia="SimSun" w:cs="Arial"/>
                <w:color w:val="000000"/>
                <w:lang w:eastAsia="ja-JP"/>
              </w:rPr>
            </w:pPr>
            <w:r w:rsidRPr="006A7507">
              <w:rPr>
                <w:rFonts w:eastAsia="SimSun" w:cs="Arial"/>
                <w:color w:val="000000"/>
                <w:lang w:eastAsia="ja-JP"/>
              </w:rPr>
              <w:t xml:space="preserve">In response to </w:t>
            </w:r>
            <w:r>
              <w:rPr>
                <w:rFonts w:eastAsia="SimSun" w:cs="Arial"/>
                <w:color w:val="000000"/>
                <w:lang w:eastAsia="ja-JP"/>
              </w:rPr>
              <w:t xml:space="preserve">submissions, </w:t>
            </w:r>
            <w:r w:rsidRPr="006A7507">
              <w:rPr>
                <w:rFonts w:eastAsia="SimSun" w:cs="Arial"/>
                <w:color w:val="000000"/>
                <w:lang w:eastAsia="ja-JP"/>
              </w:rPr>
              <w:t xml:space="preserve">further analysis of </w:t>
            </w:r>
            <w:r>
              <w:rPr>
                <w:rFonts w:eastAsia="SimSun" w:cs="Arial"/>
                <w:color w:val="000000"/>
                <w:lang w:eastAsia="ja-JP"/>
              </w:rPr>
              <w:t xml:space="preserve">recent </w:t>
            </w:r>
            <w:r w:rsidRPr="006A7507">
              <w:rPr>
                <w:rFonts w:eastAsia="SimSun" w:cs="Arial"/>
                <w:color w:val="000000"/>
                <w:lang w:eastAsia="ja-JP"/>
              </w:rPr>
              <w:t>development activity</w:t>
            </w:r>
            <w:r>
              <w:rPr>
                <w:rFonts w:eastAsia="SimSun" w:cs="Arial"/>
                <w:color w:val="000000"/>
                <w:lang w:eastAsia="ja-JP"/>
              </w:rPr>
              <w:t xml:space="preserve"> and car parking occupancy has been undertaken. Changes are proposed to</w:t>
            </w:r>
            <w:r w:rsidRPr="006A7507">
              <w:rPr>
                <w:rFonts w:eastAsia="SimSun" w:cs="Arial"/>
                <w:color w:val="000000"/>
                <w:lang w:eastAsia="ja-JP"/>
              </w:rPr>
              <w:t xml:space="preserve"> </w:t>
            </w:r>
            <w:r>
              <w:rPr>
                <w:rFonts w:eastAsia="SimSun" w:cs="Arial"/>
                <w:color w:val="000000"/>
                <w:lang w:eastAsia="ja-JP"/>
              </w:rPr>
              <w:t>further reduce the car parking rate for warehouse</w:t>
            </w:r>
            <w:r w:rsidR="00047B47">
              <w:rPr>
                <w:rFonts w:eastAsia="SimSun" w:cs="Arial"/>
                <w:color w:val="000000"/>
                <w:lang w:eastAsia="ja-JP"/>
              </w:rPr>
              <w:t xml:space="preserve"> use</w:t>
            </w:r>
            <w:r>
              <w:rPr>
                <w:rFonts w:eastAsia="SimSun" w:cs="Arial"/>
                <w:color w:val="000000"/>
                <w:lang w:eastAsia="ja-JP"/>
              </w:rPr>
              <w:t xml:space="preserve">s to </w:t>
            </w:r>
            <w:r w:rsidR="00C04B00">
              <w:rPr>
                <w:rFonts w:eastAsia="SimSun" w:cs="Arial"/>
                <w:color w:val="000000"/>
                <w:lang w:eastAsia="ja-JP"/>
              </w:rPr>
              <w:t>two</w:t>
            </w:r>
            <w:r w:rsidR="00F97518" w:rsidRPr="00F97518">
              <w:rPr>
                <w:rFonts w:eastAsia="SimSun" w:cs="Arial"/>
                <w:color w:val="000000"/>
                <w:lang w:eastAsia="ja-JP"/>
              </w:rPr>
              <w:t xml:space="preserve"> spaces per tenancy or lot</w:t>
            </w:r>
            <w:r w:rsidR="00F97518">
              <w:rPr>
                <w:rFonts w:eastAsia="SimSun" w:cs="Arial"/>
                <w:color w:val="000000"/>
                <w:lang w:eastAsia="ja-JP"/>
              </w:rPr>
              <w:t>,</w:t>
            </w:r>
            <w:r w:rsidR="00F97518" w:rsidRPr="00F97518">
              <w:rPr>
                <w:rFonts w:eastAsia="SimSun" w:cs="Arial"/>
                <w:color w:val="000000"/>
                <w:lang w:eastAsia="ja-JP"/>
              </w:rPr>
              <w:t xml:space="preserve"> plus 1 space per 100</w:t>
            </w:r>
            <w:r w:rsidR="00D70FD7">
              <w:rPr>
                <w:rFonts w:eastAsia="SimSun" w:cs="Arial"/>
                <w:color w:val="000000"/>
                <w:lang w:eastAsia="ja-JP"/>
              </w:rPr>
              <w:t> </w:t>
            </w:r>
            <w:r w:rsidR="00F97518" w:rsidRPr="00F97518">
              <w:rPr>
                <w:rFonts w:eastAsia="SimSun" w:cs="Arial"/>
                <w:color w:val="000000"/>
                <w:lang w:eastAsia="ja-JP"/>
              </w:rPr>
              <w:t>m</w:t>
            </w:r>
            <w:r w:rsidR="00F97518" w:rsidRPr="003375D9">
              <w:rPr>
                <w:rFonts w:eastAsia="SimSun" w:cs="Arial"/>
                <w:color w:val="000000"/>
                <w:vertAlign w:val="superscript"/>
                <w:lang w:eastAsia="ja-JP"/>
              </w:rPr>
              <w:t>2</w:t>
            </w:r>
            <w:r w:rsidR="00F97518" w:rsidRPr="00F97518">
              <w:rPr>
                <w:rFonts w:eastAsia="SimSun" w:cs="Arial"/>
                <w:color w:val="000000"/>
                <w:lang w:eastAsia="ja-JP"/>
              </w:rPr>
              <w:t xml:space="preserve"> gross floor area up to 7,500</w:t>
            </w:r>
            <w:r w:rsidR="00D70FD7">
              <w:rPr>
                <w:rFonts w:eastAsia="SimSun" w:cs="Arial"/>
                <w:color w:val="000000"/>
                <w:lang w:eastAsia="ja-JP"/>
              </w:rPr>
              <w:t> </w:t>
            </w:r>
            <w:r w:rsidR="00F97518" w:rsidRPr="00F97518">
              <w:rPr>
                <w:rFonts w:eastAsia="SimSun" w:cs="Arial"/>
                <w:color w:val="000000"/>
                <w:lang w:eastAsia="ja-JP"/>
              </w:rPr>
              <w:t>m</w:t>
            </w:r>
            <w:r w:rsidR="00F97518" w:rsidRPr="003375D9">
              <w:rPr>
                <w:rFonts w:eastAsia="SimSun" w:cs="Arial"/>
                <w:color w:val="000000"/>
                <w:vertAlign w:val="superscript"/>
                <w:lang w:eastAsia="ja-JP"/>
              </w:rPr>
              <w:t>2</w:t>
            </w:r>
            <w:r w:rsidR="00F97518" w:rsidRPr="00F97518">
              <w:rPr>
                <w:rFonts w:eastAsia="SimSun" w:cs="Arial"/>
                <w:color w:val="000000"/>
                <w:lang w:eastAsia="ja-JP"/>
              </w:rPr>
              <w:t xml:space="preserve"> gross floor area, plus </w:t>
            </w:r>
            <w:r w:rsidR="00C04B00">
              <w:rPr>
                <w:rFonts w:eastAsia="SimSun" w:cs="Arial"/>
                <w:color w:val="000000"/>
                <w:lang w:eastAsia="ja-JP"/>
              </w:rPr>
              <w:t>one</w:t>
            </w:r>
            <w:r w:rsidR="00F97518" w:rsidRPr="00F97518">
              <w:rPr>
                <w:rFonts w:eastAsia="SimSun" w:cs="Arial"/>
                <w:color w:val="000000"/>
                <w:lang w:eastAsia="ja-JP"/>
              </w:rPr>
              <w:t xml:space="preserve"> space per 150</w:t>
            </w:r>
            <w:r w:rsidR="00D70FD7">
              <w:rPr>
                <w:rFonts w:eastAsia="SimSun" w:cs="Arial"/>
                <w:color w:val="000000"/>
                <w:lang w:eastAsia="ja-JP"/>
              </w:rPr>
              <w:t> </w:t>
            </w:r>
            <w:r w:rsidR="00F97518" w:rsidRPr="00F97518">
              <w:rPr>
                <w:rFonts w:eastAsia="SimSun" w:cs="Arial"/>
                <w:color w:val="000000"/>
                <w:lang w:eastAsia="ja-JP"/>
              </w:rPr>
              <w:t>m</w:t>
            </w:r>
            <w:r w:rsidR="00F97518" w:rsidRPr="003375D9">
              <w:rPr>
                <w:rFonts w:eastAsia="SimSun" w:cs="Arial"/>
                <w:color w:val="000000"/>
                <w:vertAlign w:val="superscript"/>
                <w:lang w:eastAsia="ja-JP"/>
              </w:rPr>
              <w:t>2</w:t>
            </w:r>
            <w:r w:rsidR="00F97518" w:rsidRPr="00F97518">
              <w:rPr>
                <w:rFonts w:eastAsia="SimSun" w:cs="Arial"/>
                <w:color w:val="000000"/>
                <w:lang w:eastAsia="ja-JP"/>
              </w:rPr>
              <w:t xml:space="preserve"> gross floor area above 7,500</w:t>
            </w:r>
            <w:r w:rsidR="00D70FD7">
              <w:rPr>
                <w:rFonts w:eastAsia="SimSun" w:cs="Arial"/>
                <w:color w:val="000000"/>
                <w:lang w:eastAsia="ja-JP"/>
              </w:rPr>
              <w:t> </w:t>
            </w:r>
            <w:r w:rsidR="00F97518" w:rsidRPr="00F97518">
              <w:rPr>
                <w:rFonts w:eastAsia="SimSun" w:cs="Arial"/>
                <w:color w:val="000000"/>
                <w:lang w:eastAsia="ja-JP"/>
              </w:rPr>
              <w:t>m</w:t>
            </w:r>
            <w:r w:rsidR="00F97518" w:rsidRPr="003375D9">
              <w:rPr>
                <w:rFonts w:eastAsia="SimSun" w:cs="Arial"/>
                <w:color w:val="000000"/>
                <w:vertAlign w:val="superscript"/>
                <w:lang w:eastAsia="ja-JP"/>
              </w:rPr>
              <w:t>2</w:t>
            </w:r>
            <w:r w:rsidR="00F97518" w:rsidRPr="00F97518">
              <w:rPr>
                <w:rFonts w:eastAsia="SimSun" w:cs="Arial"/>
                <w:color w:val="000000"/>
                <w:lang w:eastAsia="ja-JP"/>
              </w:rPr>
              <w:t xml:space="preserve"> gross floor area</w:t>
            </w:r>
            <w:r>
              <w:rPr>
                <w:rFonts w:eastAsia="SimSun" w:cs="Arial"/>
                <w:color w:val="000000"/>
                <w:lang w:eastAsia="ja-JP"/>
              </w:rPr>
              <w:t>.</w:t>
            </w:r>
          </w:p>
          <w:p w14:paraId="5BA0BDB5" w14:textId="77777777" w:rsidR="00F97518" w:rsidRDefault="00F97518" w:rsidP="00B25A80">
            <w:pPr>
              <w:spacing w:after="0"/>
              <w:rPr>
                <w:rFonts w:eastAsia="SimSun" w:cs="Arial"/>
                <w:color w:val="000000"/>
                <w:lang w:eastAsia="ja-JP"/>
              </w:rPr>
            </w:pPr>
          </w:p>
          <w:p w14:paraId="7EE0E68E" w14:textId="0CB6A187" w:rsidR="00EB7659" w:rsidRPr="00913B97" w:rsidRDefault="00EB7659" w:rsidP="00B25A80">
            <w:pPr>
              <w:spacing w:after="0"/>
              <w:rPr>
                <w:rFonts w:eastAsia="SimSun" w:cs="Arial"/>
                <w:color w:val="000000"/>
                <w:lang w:eastAsia="ja-JP"/>
              </w:rPr>
            </w:pPr>
          </w:p>
        </w:tc>
        <w:tc>
          <w:tcPr>
            <w:tcW w:w="540" w:type="pct"/>
          </w:tcPr>
          <w:p w14:paraId="14F9CDD9" w14:textId="739BE440" w:rsidR="00EB7659" w:rsidRPr="00EA504A" w:rsidRDefault="00EB7659" w:rsidP="00F749CD">
            <w:pPr>
              <w:spacing w:after="0"/>
            </w:pPr>
            <w:r>
              <w:t>Change</w:t>
            </w:r>
          </w:p>
        </w:tc>
      </w:tr>
      <w:tr w:rsidR="00F96F57" w14:paraId="66C14388" w14:textId="77777777" w:rsidTr="004419FE">
        <w:tc>
          <w:tcPr>
            <w:tcW w:w="587" w:type="pct"/>
          </w:tcPr>
          <w:p w14:paraId="2B27A2F8" w14:textId="3EE83ABF" w:rsidR="00F96F57" w:rsidRDefault="00F96F57" w:rsidP="00F96F57">
            <w:pPr>
              <w:spacing w:after="0"/>
            </w:pPr>
            <w:r>
              <w:lastRenderedPageBreak/>
              <w:t>MK-031</w:t>
            </w:r>
          </w:p>
        </w:tc>
        <w:tc>
          <w:tcPr>
            <w:tcW w:w="1928" w:type="pct"/>
          </w:tcPr>
          <w:p w14:paraId="2AA3CA14" w14:textId="44D4D3E6" w:rsidR="00F96F57" w:rsidRDefault="00665CC5" w:rsidP="00F96F57">
            <w:pPr>
              <w:spacing w:after="0"/>
            </w:pPr>
            <w:r>
              <w:t>The s</w:t>
            </w:r>
            <w:r w:rsidR="00F96F57">
              <w:t>ubmitter s</w:t>
            </w:r>
            <w:r w:rsidR="00F96F57" w:rsidRPr="0073098C">
              <w:t>upport</w:t>
            </w:r>
            <w:r w:rsidR="00F96F57">
              <w:t>s</w:t>
            </w:r>
            <w:r w:rsidR="00F96F57" w:rsidRPr="0073098C">
              <w:t xml:space="preserve"> the change to warehouse car parking rates as it reflects the nature of industrial use</w:t>
            </w:r>
            <w:r w:rsidR="00F96F57">
              <w:t>,</w:t>
            </w:r>
            <w:r w:rsidR="00F96F57" w:rsidRPr="0073098C">
              <w:t xml:space="preserve"> however</w:t>
            </w:r>
            <w:r w:rsidR="00F96F57">
              <w:t>, considers</w:t>
            </w:r>
            <w:r w:rsidR="00F96F57" w:rsidRPr="0073098C">
              <w:t xml:space="preserve"> </w:t>
            </w:r>
            <w:r w:rsidR="00D70FD7">
              <w:t xml:space="preserve">that </w:t>
            </w:r>
            <w:r w:rsidR="00F96F57" w:rsidRPr="0073098C">
              <w:t xml:space="preserve">a </w:t>
            </w:r>
            <w:r w:rsidR="00C04B00">
              <w:t>‘</w:t>
            </w:r>
            <w:r w:rsidR="00F96F57" w:rsidRPr="0073098C">
              <w:t>one size fits all</w:t>
            </w:r>
            <w:r w:rsidR="00C04B00">
              <w:t>’</w:t>
            </w:r>
            <w:r w:rsidR="00F96F57" w:rsidRPr="0073098C">
              <w:t xml:space="preserve"> approach </w:t>
            </w:r>
            <w:r w:rsidR="00F96F57">
              <w:t>is not</w:t>
            </w:r>
            <w:r w:rsidR="00F96F57" w:rsidRPr="0073098C">
              <w:t xml:space="preserve"> appropriate and performance</w:t>
            </w:r>
            <w:r w:rsidR="00D70FD7">
              <w:t>-</w:t>
            </w:r>
            <w:r w:rsidR="00F96F57" w:rsidRPr="0073098C">
              <w:t>based solutions should still be considered</w:t>
            </w:r>
            <w:r w:rsidR="00D70FD7">
              <w:t xml:space="preserve"> </w:t>
            </w:r>
            <w:proofErr w:type="gramStart"/>
            <w:r w:rsidR="00D70FD7">
              <w:t>e.g.</w:t>
            </w:r>
            <w:proofErr w:type="gramEnd"/>
            <w:r w:rsidR="00F96F57" w:rsidRPr="0073098C">
              <w:t xml:space="preserve"> to reflect uses that are highly automated or where shift and workforce profiles warrant it.</w:t>
            </w:r>
          </w:p>
        </w:tc>
        <w:tc>
          <w:tcPr>
            <w:tcW w:w="1945" w:type="pct"/>
          </w:tcPr>
          <w:p w14:paraId="2D631D67" w14:textId="1A75B2E8" w:rsidR="00F96F57" w:rsidRPr="004E456E" w:rsidRDefault="00F96F57" w:rsidP="00F96F57">
            <w:pPr>
              <w:spacing w:after="0"/>
              <w:rPr>
                <w:color w:val="000000"/>
                <w:lang w:eastAsia="ja-JP"/>
              </w:rPr>
            </w:pPr>
            <w:r w:rsidRPr="004E456E">
              <w:rPr>
                <w:color w:val="000000"/>
                <w:lang w:eastAsia="ja-JP"/>
              </w:rPr>
              <w:t>Queensland Government legislation requires City Plan to be a performance</w:t>
            </w:r>
            <w:r w:rsidR="00D70FD7">
              <w:rPr>
                <w:color w:val="000000"/>
                <w:lang w:eastAsia="ja-JP"/>
              </w:rPr>
              <w:t>-</w:t>
            </w:r>
            <w:r w:rsidRPr="004E456E">
              <w:rPr>
                <w:color w:val="000000"/>
                <w:lang w:eastAsia="ja-JP"/>
              </w:rPr>
              <w:t xml:space="preserve">based planning scheme, </w:t>
            </w:r>
            <w:r w:rsidR="008F4465">
              <w:rPr>
                <w:color w:val="000000"/>
                <w:lang w:eastAsia="ja-JP"/>
              </w:rPr>
              <w:t xml:space="preserve">ensuring </w:t>
            </w:r>
            <w:r w:rsidR="00D70FD7">
              <w:rPr>
                <w:color w:val="000000"/>
                <w:lang w:eastAsia="ja-JP"/>
              </w:rPr>
              <w:t xml:space="preserve">that </w:t>
            </w:r>
            <w:r w:rsidR="008F4465">
              <w:rPr>
                <w:color w:val="000000"/>
                <w:lang w:eastAsia="ja-JP"/>
              </w:rPr>
              <w:t>applicants are provided</w:t>
            </w:r>
            <w:r w:rsidR="008F4465" w:rsidRPr="004E456E">
              <w:rPr>
                <w:color w:val="000000"/>
                <w:lang w:eastAsia="ja-JP"/>
              </w:rPr>
              <w:t xml:space="preserve"> </w:t>
            </w:r>
            <w:r w:rsidR="00D70FD7">
              <w:rPr>
                <w:color w:val="000000"/>
                <w:lang w:eastAsia="ja-JP"/>
              </w:rPr>
              <w:t xml:space="preserve">with </w:t>
            </w:r>
            <w:r w:rsidRPr="004E456E">
              <w:rPr>
                <w:color w:val="000000"/>
                <w:lang w:eastAsia="ja-JP"/>
              </w:rPr>
              <w:t xml:space="preserve">the opportunity for alternative solutions </w:t>
            </w:r>
            <w:r w:rsidR="00D70FD7">
              <w:rPr>
                <w:color w:val="000000"/>
                <w:lang w:eastAsia="ja-JP"/>
              </w:rPr>
              <w:t>that</w:t>
            </w:r>
            <w:r w:rsidRPr="004E456E">
              <w:rPr>
                <w:color w:val="000000"/>
                <w:lang w:eastAsia="ja-JP"/>
              </w:rPr>
              <w:t xml:space="preserve"> meet the requirements of the performance outcome</w:t>
            </w:r>
            <w:r w:rsidR="00C00C4F">
              <w:rPr>
                <w:color w:val="000000"/>
                <w:lang w:eastAsia="ja-JP"/>
              </w:rPr>
              <w:t>s</w:t>
            </w:r>
            <w:r w:rsidRPr="004E456E">
              <w:rPr>
                <w:color w:val="000000"/>
                <w:lang w:eastAsia="ja-JP"/>
              </w:rPr>
              <w:t>.</w:t>
            </w:r>
          </w:p>
          <w:p w14:paraId="4E6BCF42" w14:textId="77777777" w:rsidR="00F96F57" w:rsidRDefault="00F96F57" w:rsidP="00F96F57">
            <w:pPr>
              <w:spacing w:after="0"/>
              <w:rPr>
                <w:color w:val="000000"/>
                <w:lang w:eastAsia="ja-JP"/>
              </w:rPr>
            </w:pPr>
          </w:p>
          <w:p w14:paraId="18FB04D3" w14:textId="305D1CD0" w:rsidR="00F96F57" w:rsidRPr="004E456E" w:rsidRDefault="00F96F57" w:rsidP="00F96F57">
            <w:pPr>
              <w:spacing w:after="0"/>
              <w:rPr>
                <w:color w:val="000000"/>
                <w:lang w:eastAsia="ja-JP"/>
              </w:rPr>
            </w:pPr>
            <w:r w:rsidRPr="004E456E">
              <w:rPr>
                <w:color w:val="000000"/>
                <w:lang w:eastAsia="ja-JP"/>
              </w:rPr>
              <w:t xml:space="preserve">The proposed </w:t>
            </w:r>
            <w:r w:rsidR="00434DE8">
              <w:rPr>
                <w:color w:val="000000"/>
                <w:lang w:eastAsia="ja-JP"/>
              </w:rPr>
              <w:t>amendment</w:t>
            </w:r>
            <w:r>
              <w:rPr>
                <w:color w:val="000000"/>
                <w:lang w:eastAsia="ja-JP"/>
              </w:rPr>
              <w:t xml:space="preserve"> do</w:t>
            </w:r>
            <w:r w:rsidR="00434DE8">
              <w:rPr>
                <w:color w:val="000000"/>
                <w:lang w:eastAsia="ja-JP"/>
              </w:rPr>
              <w:t>es</w:t>
            </w:r>
            <w:r>
              <w:rPr>
                <w:color w:val="000000"/>
                <w:lang w:eastAsia="ja-JP"/>
              </w:rPr>
              <w:t xml:space="preserve"> not change</w:t>
            </w:r>
            <w:r w:rsidR="008F4465">
              <w:rPr>
                <w:color w:val="000000"/>
                <w:lang w:eastAsia="ja-JP"/>
              </w:rPr>
              <w:t xml:space="preserve"> </w:t>
            </w:r>
            <w:r w:rsidR="00D73CF8">
              <w:rPr>
                <w:color w:val="000000"/>
                <w:lang w:eastAsia="ja-JP"/>
              </w:rPr>
              <w:t>this</w:t>
            </w:r>
            <w:r w:rsidR="008F4465">
              <w:rPr>
                <w:color w:val="000000"/>
                <w:lang w:eastAsia="ja-JP"/>
              </w:rPr>
              <w:t xml:space="preserve"> approach.</w:t>
            </w:r>
            <w:r w:rsidRPr="004E456E">
              <w:rPr>
                <w:color w:val="000000"/>
                <w:lang w:eastAsia="ja-JP"/>
              </w:rPr>
              <w:t xml:space="preserve"> </w:t>
            </w:r>
            <w:r w:rsidR="008F4465">
              <w:rPr>
                <w:color w:val="000000"/>
                <w:lang w:eastAsia="ja-JP"/>
              </w:rPr>
              <w:t>A</w:t>
            </w:r>
            <w:r w:rsidR="008F4465" w:rsidRPr="004E456E">
              <w:rPr>
                <w:color w:val="000000"/>
                <w:lang w:eastAsia="ja-JP"/>
              </w:rPr>
              <w:t xml:space="preserve">n </w:t>
            </w:r>
            <w:r w:rsidRPr="004E456E">
              <w:rPr>
                <w:color w:val="000000"/>
                <w:lang w:eastAsia="ja-JP"/>
              </w:rPr>
              <w:t xml:space="preserve">applicant can </w:t>
            </w:r>
            <w:r w:rsidR="008F4465">
              <w:rPr>
                <w:color w:val="000000"/>
                <w:lang w:eastAsia="ja-JP"/>
              </w:rPr>
              <w:t>choose to</w:t>
            </w:r>
            <w:r w:rsidRPr="004E456E">
              <w:rPr>
                <w:color w:val="000000"/>
                <w:lang w:eastAsia="ja-JP"/>
              </w:rPr>
              <w:t xml:space="preserve"> comply with</w:t>
            </w:r>
            <w:r w:rsidR="008F4465">
              <w:rPr>
                <w:color w:val="000000"/>
                <w:lang w:eastAsia="ja-JP"/>
              </w:rPr>
              <w:t xml:space="preserve"> the standards in an</w:t>
            </w:r>
            <w:r w:rsidRPr="004E456E">
              <w:rPr>
                <w:color w:val="000000"/>
                <w:lang w:eastAsia="ja-JP"/>
              </w:rPr>
              <w:t xml:space="preserve"> applicable acceptable </w:t>
            </w:r>
            <w:r w:rsidR="008F4465">
              <w:rPr>
                <w:color w:val="000000"/>
                <w:lang w:eastAsia="ja-JP"/>
              </w:rPr>
              <w:t>outcome</w:t>
            </w:r>
            <w:r w:rsidR="008F4465" w:rsidRPr="004E456E">
              <w:rPr>
                <w:color w:val="000000"/>
                <w:lang w:eastAsia="ja-JP"/>
              </w:rPr>
              <w:t xml:space="preserve"> </w:t>
            </w:r>
            <w:r w:rsidRPr="004E456E">
              <w:rPr>
                <w:color w:val="000000"/>
                <w:lang w:eastAsia="ja-JP"/>
              </w:rPr>
              <w:t xml:space="preserve">or propose an alternative solution </w:t>
            </w:r>
            <w:r w:rsidR="00F66E50">
              <w:rPr>
                <w:color w:val="000000"/>
                <w:lang w:eastAsia="ja-JP"/>
              </w:rPr>
              <w:t xml:space="preserve">considered to still achieve </w:t>
            </w:r>
            <w:r w:rsidRPr="004E456E">
              <w:rPr>
                <w:color w:val="000000"/>
                <w:lang w:eastAsia="ja-JP"/>
              </w:rPr>
              <w:t>the performance outcome</w:t>
            </w:r>
            <w:r w:rsidR="00F66E50">
              <w:rPr>
                <w:color w:val="000000"/>
                <w:lang w:eastAsia="ja-JP"/>
              </w:rPr>
              <w:t xml:space="preserve"> and overall outcomes of an applicable code.</w:t>
            </w:r>
            <w:r w:rsidRPr="004E456E">
              <w:rPr>
                <w:color w:val="000000"/>
                <w:lang w:eastAsia="ja-JP"/>
              </w:rPr>
              <w:t xml:space="preserve">  </w:t>
            </w:r>
          </w:p>
          <w:p w14:paraId="70F4D111" w14:textId="77777777" w:rsidR="00F96F57" w:rsidRDefault="00F96F57" w:rsidP="00F96F57">
            <w:pPr>
              <w:spacing w:after="0"/>
              <w:rPr>
                <w:color w:val="000000"/>
                <w:lang w:eastAsia="ja-JP"/>
              </w:rPr>
            </w:pPr>
          </w:p>
          <w:p w14:paraId="688C2DC4" w14:textId="4D84718E" w:rsidR="00D73CF8" w:rsidRPr="00D73CF8" w:rsidRDefault="00F96F57" w:rsidP="00F96F57">
            <w:pPr>
              <w:spacing w:after="0"/>
              <w:rPr>
                <w:color w:val="000000"/>
                <w:lang w:eastAsia="ja-JP"/>
              </w:rPr>
            </w:pPr>
            <w:r w:rsidRPr="004E456E">
              <w:rPr>
                <w:color w:val="000000"/>
                <w:lang w:eastAsia="ja-JP"/>
              </w:rPr>
              <w:t xml:space="preserve">The Transport, access, </w:t>
            </w:r>
            <w:proofErr w:type="gramStart"/>
            <w:r w:rsidRPr="004E456E">
              <w:rPr>
                <w:color w:val="000000"/>
                <w:lang w:eastAsia="ja-JP"/>
              </w:rPr>
              <w:t>parking</w:t>
            </w:r>
            <w:proofErr w:type="gramEnd"/>
            <w:r w:rsidRPr="004E456E">
              <w:rPr>
                <w:color w:val="000000"/>
                <w:lang w:eastAsia="ja-JP"/>
              </w:rPr>
              <w:t xml:space="preserve"> and servicing planning scheme policy</w:t>
            </w:r>
            <w:r w:rsidR="00F66E50">
              <w:rPr>
                <w:color w:val="000000"/>
                <w:lang w:eastAsia="ja-JP"/>
              </w:rPr>
              <w:t xml:space="preserve"> provides the necessary guidance and supporting information that may be requested to</w:t>
            </w:r>
            <w:r w:rsidRPr="004E456E">
              <w:rPr>
                <w:color w:val="000000"/>
                <w:lang w:eastAsia="ja-JP"/>
              </w:rPr>
              <w:t xml:space="preserve"> demonstrate compliance with the code. </w:t>
            </w:r>
            <w:r w:rsidR="00F66E50">
              <w:rPr>
                <w:color w:val="000000"/>
                <w:lang w:eastAsia="ja-JP"/>
              </w:rPr>
              <w:t>Where an alternative solution is proposed,</w:t>
            </w:r>
            <w:r w:rsidRPr="004E456E">
              <w:rPr>
                <w:color w:val="000000"/>
                <w:lang w:eastAsia="ja-JP"/>
              </w:rPr>
              <w:t xml:space="preserve"> a traffic impact assessment prepared in </w:t>
            </w:r>
            <w:r>
              <w:rPr>
                <w:color w:val="000000"/>
                <w:lang w:eastAsia="ja-JP"/>
              </w:rPr>
              <w:t>accordance</w:t>
            </w:r>
            <w:r w:rsidRPr="004E456E">
              <w:rPr>
                <w:color w:val="000000"/>
                <w:lang w:eastAsia="ja-JP"/>
              </w:rPr>
              <w:t xml:space="preserve"> with the Transport, access, </w:t>
            </w:r>
            <w:proofErr w:type="gramStart"/>
            <w:r w:rsidRPr="004E456E">
              <w:rPr>
                <w:color w:val="000000"/>
                <w:lang w:eastAsia="ja-JP"/>
              </w:rPr>
              <w:t>parking</w:t>
            </w:r>
            <w:proofErr w:type="gramEnd"/>
            <w:r w:rsidRPr="004E456E">
              <w:rPr>
                <w:color w:val="000000"/>
                <w:lang w:eastAsia="ja-JP"/>
              </w:rPr>
              <w:t xml:space="preserve"> and servicing planning scheme policy</w:t>
            </w:r>
            <w:r w:rsidR="00F12DA1">
              <w:rPr>
                <w:color w:val="000000"/>
                <w:lang w:eastAsia="ja-JP"/>
              </w:rPr>
              <w:t xml:space="preserve"> may be</w:t>
            </w:r>
            <w:r w:rsidRPr="004E456E">
              <w:rPr>
                <w:color w:val="000000"/>
                <w:lang w:eastAsia="ja-JP"/>
              </w:rPr>
              <w:t xml:space="preserve"> required</w:t>
            </w:r>
            <w:r w:rsidR="00F66E50">
              <w:rPr>
                <w:color w:val="000000"/>
                <w:lang w:eastAsia="ja-JP"/>
              </w:rPr>
              <w:t xml:space="preserve"> to demonstrate that adequate parking has been provided</w:t>
            </w:r>
            <w:r w:rsidRPr="004E456E">
              <w:rPr>
                <w:color w:val="000000"/>
                <w:lang w:eastAsia="ja-JP"/>
              </w:rPr>
              <w:t>.</w:t>
            </w:r>
          </w:p>
        </w:tc>
        <w:tc>
          <w:tcPr>
            <w:tcW w:w="540" w:type="pct"/>
          </w:tcPr>
          <w:p w14:paraId="64C4A380" w14:textId="16F8F5B6" w:rsidR="00F96F57" w:rsidRPr="00EA504A" w:rsidRDefault="00F96F57" w:rsidP="00F96F57">
            <w:pPr>
              <w:spacing w:after="0"/>
            </w:pPr>
            <w:r w:rsidRPr="00EA504A">
              <w:t>No change</w:t>
            </w:r>
          </w:p>
        </w:tc>
      </w:tr>
      <w:tr w:rsidR="00F96F57" w14:paraId="79354A5F" w14:textId="77777777" w:rsidTr="00D84074">
        <w:tc>
          <w:tcPr>
            <w:tcW w:w="5000" w:type="pct"/>
            <w:gridSpan w:val="4"/>
            <w:shd w:val="clear" w:color="auto" w:fill="BFBFBF" w:themeFill="background1" w:themeFillShade="BF"/>
          </w:tcPr>
          <w:p w14:paraId="03A8AE59" w14:textId="08FF2A9E" w:rsidR="00F96F57" w:rsidRPr="00EA504A" w:rsidRDefault="00F96F57" w:rsidP="003239EB">
            <w:pPr>
              <w:spacing w:after="0"/>
            </w:pPr>
            <w:r w:rsidRPr="00EC4566">
              <w:rPr>
                <w:b/>
                <w:bCs/>
                <w:i/>
                <w:iCs/>
              </w:rPr>
              <w:t xml:space="preserve">Action 8 - Enhance the role of Brisbane’s industrial precincts by </w:t>
            </w:r>
            <w:proofErr w:type="spellStart"/>
            <w:r w:rsidRPr="00EC4566">
              <w:rPr>
                <w:b/>
                <w:bCs/>
                <w:i/>
                <w:iCs/>
              </w:rPr>
              <w:t>emphasising</w:t>
            </w:r>
            <w:proofErr w:type="spellEnd"/>
            <w:r w:rsidRPr="00EC4566">
              <w:rPr>
                <w:b/>
                <w:bCs/>
                <w:i/>
                <w:iCs/>
              </w:rPr>
              <w:t xml:space="preserve"> their role in meeting evolving industrial demand, facilitate business and infrastructure investment and services needed to attract a skilled workforce.</w:t>
            </w:r>
          </w:p>
        </w:tc>
      </w:tr>
      <w:tr w:rsidR="00F96F57" w14:paraId="4B2911B4" w14:textId="77777777" w:rsidTr="004419FE">
        <w:tc>
          <w:tcPr>
            <w:tcW w:w="587" w:type="pct"/>
          </w:tcPr>
          <w:p w14:paraId="52872C54" w14:textId="1B5AF389" w:rsidR="00691DDE" w:rsidRDefault="00F96F57" w:rsidP="00F96F57">
            <w:pPr>
              <w:spacing w:after="0"/>
            </w:pPr>
            <w:r>
              <w:t>MK-015</w:t>
            </w:r>
          </w:p>
          <w:p w14:paraId="23FAA33A" w14:textId="53D12481" w:rsidR="00691DDE" w:rsidRDefault="00F96F57" w:rsidP="00F96F57">
            <w:pPr>
              <w:spacing w:after="0"/>
            </w:pPr>
            <w:r>
              <w:t>MK-035</w:t>
            </w:r>
          </w:p>
          <w:p w14:paraId="07E2A463" w14:textId="4F81448B" w:rsidR="00691DDE" w:rsidRDefault="00F96F57" w:rsidP="00F96F57">
            <w:pPr>
              <w:spacing w:after="0"/>
            </w:pPr>
            <w:r>
              <w:t>MK-042</w:t>
            </w:r>
          </w:p>
          <w:p w14:paraId="6919B9A1" w14:textId="111269EE" w:rsidR="00691DDE" w:rsidRDefault="00F96F57" w:rsidP="00F96F57">
            <w:pPr>
              <w:spacing w:after="0"/>
            </w:pPr>
            <w:r>
              <w:t>MK-044</w:t>
            </w:r>
          </w:p>
          <w:p w14:paraId="69D10641" w14:textId="1CC9143A" w:rsidR="00F96F57" w:rsidRDefault="00F96F57" w:rsidP="00F96F57">
            <w:pPr>
              <w:spacing w:after="0"/>
            </w:pPr>
            <w:r>
              <w:t>MK-048</w:t>
            </w:r>
          </w:p>
        </w:tc>
        <w:tc>
          <w:tcPr>
            <w:tcW w:w="1928" w:type="pct"/>
          </w:tcPr>
          <w:p w14:paraId="2E060C66" w14:textId="6DEF3729" w:rsidR="00F96F57" w:rsidRDefault="00691DDE" w:rsidP="003239EB">
            <w:pPr>
              <w:spacing w:after="0"/>
            </w:pPr>
            <w:r>
              <w:t>The s</w:t>
            </w:r>
            <w:r w:rsidR="00F96F57">
              <w:t>ubmitters oppose the proposed industry changes relating to the Strategic Inner City Industrial Areas, for the following reasons</w:t>
            </w:r>
            <w:r w:rsidR="004419FE">
              <w:t>.</w:t>
            </w:r>
          </w:p>
          <w:p w14:paraId="71B8C75A" w14:textId="28BD4599" w:rsidR="00F96F57" w:rsidRDefault="00F96F57" w:rsidP="003239EB">
            <w:pPr>
              <w:pStyle w:val="ListParagraph"/>
              <w:numPr>
                <w:ilvl w:val="0"/>
                <w:numId w:val="16"/>
              </w:numPr>
              <w:spacing w:after="0"/>
            </w:pPr>
            <w:r>
              <w:t>B</w:t>
            </w:r>
            <w:r w:rsidRPr="007F2DD7">
              <w:t xml:space="preserve">roadscale tightening of the Strategic </w:t>
            </w:r>
            <w:r w:rsidR="00691DDE">
              <w:t>f</w:t>
            </w:r>
            <w:r w:rsidRPr="007F2DD7">
              <w:t>ramework against alternat</w:t>
            </w:r>
            <w:r>
              <w:t>iv</w:t>
            </w:r>
            <w:r w:rsidRPr="007F2DD7">
              <w:t>e uses is excessive, particularly in inner</w:t>
            </w:r>
            <w:r w:rsidR="00D70FD7">
              <w:t>-</w:t>
            </w:r>
            <w:r w:rsidRPr="007F2DD7">
              <w:t xml:space="preserve">city areas like </w:t>
            </w:r>
            <w:r w:rsidRPr="00DE2AAB">
              <w:t xml:space="preserve">Newstead </w:t>
            </w:r>
            <w:r w:rsidRPr="007F2DD7">
              <w:t>that would better serve the economy and vibrancy of the city through mixed</w:t>
            </w:r>
            <w:r w:rsidR="00D70FD7">
              <w:t>-</w:t>
            </w:r>
            <w:r w:rsidRPr="007F2DD7">
              <w:t>use development.</w:t>
            </w:r>
          </w:p>
          <w:p w14:paraId="2AC7BA23" w14:textId="27FDC225" w:rsidR="00F96F57" w:rsidRDefault="00F96F57" w:rsidP="003239EB">
            <w:pPr>
              <w:pStyle w:val="ListParagraph"/>
              <w:numPr>
                <w:ilvl w:val="0"/>
                <w:numId w:val="16"/>
              </w:numPr>
              <w:spacing w:after="0"/>
            </w:pPr>
            <w:r w:rsidRPr="00150C43">
              <w:t>Many industries have continued to vacate inner</w:t>
            </w:r>
            <w:r w:rsidR="00D70FD7">
              <w:t>-</w:t>
            </w:r>
            <w:r w:rsidRPr="00150C43">
              <w:t xml:space="preserve">city industrial areas and there is limited industry left. These redundant industrial areas should be allowed to renew and </w:t>
            </w:r>
            <w:proofErr w:type="spellStart"/>
            <w:r w:rsidRPr="00150C43">
              <w:t>revitalise</w:t>
            </w:r>
            <w:proofErr w:type="spellEnd"/>
            <w:r w:rsidRPr="00150C43">
              <w:t xml:space="preserve"> as mixed</w:t>
            </w:r>
            <w:r w:rsidR="00D70FD7">
              <w:t>-</w:t>
            </w:r>
            <w:r w:rsidRPr="00150C43">
              <w:t xml:space="preserve">use areas. </w:t>
            </w:r>
          </w:p>
          <w:p w14:paraId="4B3CA755" w14:textId="25F9D8D3" w:rsidR="00F96F57" w:rsidRDefault="00F96F57" w:rsidP="003239EB">
            <w:pPr>
              <w:pStyle w:val="ListParagraph"/>
              <w:numPr>
                <w:ilvl w:val="0"/>
                <w:numId w:val="16"/>
              </w:numPr>
              <w:spacing w:after="0"/>
            </w:pPr>
            <w:r w:rsidRPr="00150C43">
              <w:t>Retaining these areas as low</w:t>
            </w:r>
            <w:r w:rsidR="00D70FD7">
              <w:t>-</w:t>
            </w:r>
            <w:r w:rsidRPr="00150C43">
              <w:t>scale industrial buildings will turn away investment and stop opportunities for new, viable development, urban renewal, the creation of higher value jobs and repositioning the city towards 2032.</w:t>
            </w:r>
          </w:p>
          <w:p w14:paraId="09B9F396" w14:textId="780D5C19" w:rsidR="00F96F57" w:rsidRDefault="00F96F57" w:rsidP="003239EB">
            <w:pPr>
              <w:pStyle w:val="ListParagraph"/>
              <w:numPr>
                <w:ilvl w:val="0"/>
                <w:numId w:val="16"/>
              </w:numPr>
              <w:spacing w:after="0"/>
            </w:pPr>
            <w:r>
              <w:lastRenderedPageBreak/>
              <w:t>Amendments to the Strategic Inner City Industrial Areas do not align with intent of the Brisbane Industrial Strategy Review for increased flexibility.</w:t>
            </w:r>
          </w:p>
          <w:p w14:paraId="12E9E706" w14:textId="4B861AC8" w:rsidR="00F96F57" w:rsidRDefault="00F96F57" w:rsidP="003239EB">
            <w:pPr>
              <w:pStyle w:val="ListParagraph"/>
              <w:numPr>
                <w:ilvl w:val="0"/>
                <w:numId w:val="16"/>
              </w:numPr>
              <w:spacing w:after="0"/>
            </w:pPr>
            <w:r>
              <w:t>The p</w:t>
            </w:r>
            <w:r w:rsidRPr="007F2DD7">
              <w:t xml:space="preserve">roposed changes </w:t>
            </w:r>
            <w:r>
              <w:t xml:space="preserve">should </w:t>
            </w:r>
            <w:r w:rsidRPr="007F2DD7">
              <w:t>be reviewed to permit flexibility for alternat</w:t>
            </w:r>
            <w:r>
              <w:t>iv</w:t>
            </w:r>
            <w:r w:rsidRPr="007F2DD7">
              <w:t>e uses in specific locations in response to planning investigations.</w:t>
            </w:r>
          </w:p>
        </w:tc>
        <w:tc>
          <w:tcPr>
            <w:tcW w:w="1945" w:type="pct"/>
            <w:shd w:val="clear" w:color="auto" w:fill="auto"/>
          </w:tcPr>
          <w:p w14:paraId="4DF84F67" w14:textId="2BE6C382" w:rsidR="00F96F57" w:rsidRDefault="00F96F57" w:rsidP="003239EB">
            <w:pPr>
              <w:pStyle w:val="SubmissionTable"/>
              <w:spacing w:before="0" w:after="0"/>
              <w:rPr>
                <w:rFonts w:cs="Arial"/>
                <w:sz w:val="20"/>
                <w:lang w:val="en-AU"/>
              </w:rPr>
            </w:pPr>
            <w:r>
              <w:rPr>
                <w:rFonts w:cs="Arial"/>
                <w:sz w:val="20"/>
                <w:lang w:val="en-AU"/>
              </w:rPr>
              <w:lastRenderedPageBreak/>
              <w:t xml:space="preserve">The Strategic </w:t>
            </w:r>
            <w:r w:rsidR="00691DDE">
              <w:rPr>
                <w:rFonts w:cs="Arial"/>
                <w:sz w:val="20"/>
                <w:lang w:val="en-AU"/>
              </w:rPr>
              <w:t>f</w:t>
            </w:r>
            <w:r>
              <w:rPr>
                <w:rFonts w:cs="Arial"/>
                <w:sz w:val="20"/>
                <w:lang w:val="en-AU"/>
              </w:rPr>
              <w:t xml:space="preserve">ramework provisions for Strategic Inner City Industrial Areas ensure </w:t>
            </w:r>
            <w:r w:rsidR="00D70FD7">
              <w:rPr>
                <w:rFonts w:cs="Arial"/>
                <w:sz w:val="20"/>
                <w:lang w:val="en-AU"/>
              </w:rPr>
              <w:t xml:space="preserve">that </w:t>
            </w:r>
            <w:r>
              <w:rPr>
                <w:rFonts w:cs="Arial"/>
                <w:sz w:val="20"/>
                <w:lang w:val="en-AU"/>
              </w:rPr>
              <w:t>existing lawful industries can continue to operate in these areas with certainty and are protected from encroachment from sensitive uses.</w:t>
            </w:r>
          </w:p>
          <w:p w14:paraId="420AAC39" w14:textId="2E7DCEF0" w:rsidR="00F96F57" w:rsidRDefault="00F96F57" w:rsidP="003239EB">
            <w:pPr>
              <w:pStyle w:val="SubmissionTable"/>
              <w:spacing w:before="0" w:after="0"/>
              <w:rPr>
                <w:rFonts w:cs="Arial"/>
                <w:sz w:val="20"/>
                <w:lang w:val="en-AU"/>
              </w:rPr>
            </w:pPr>
          </w:p>
          <w:p w14:paraId="6540DE2E" w14:textId="10B891B8" w:rsidR="00F96F57" w:rsidRDefault="00F96F57" w:rsidP="003239EB">
            <w:pPr>
              <w:pStyle w:val="SubmissionTable"/>
              <w:spacing w:before="0" w:after="0"/>
              <w:rPr>
                <w:rFonts w:cs="Arial"/>
                <w:sz w:val="20"/>
                <w:lang w:val="en-AU"/>
              </w:rPr>
            </w:pPr>
            <w:r>
              <w:rPr>
                <w:rFonts w:cs="Arial"/>
                <w:sz w:val="20"/>
                <w:lang w:val="en-AU"/>
              </w:rPr>
              <w:t xml:space="preserve">The strategic outcomes and the land use strategies under the Strategic framework acknowledge the role of the Strategic Inner City Industrial Areas and their focus </w:t>
            </w:r>
            <w:r w:rsidR="00D70FD7">
              <w:rPr>
                <w:rFonts w:cs="Arial"/>
                <w:sz w:val="20"/>
                <w:lang w:val="en-AU"/>
              </w:rPr>
              <w:t>on</w:t>
            </w:r>
            <w:r>
              <w:rPr>
                <w:rFonts w:cs="Arial"/>
                <w:sz w:val="20"/>
                <w:lang w:val="en-AU"/>
              </w:rPr>
              <w:t xml:space="preserve"> economic activity. This includes </w:t>
            </w:r>
            <w:r w:rsidR="003C576D">
              <w:rPr>
                <w:rFonts w:cs="Arial"/>
                <w:sz w:val="20"/>
                <w:lang w:val="en-AU"/>
              </w:rPr>
              <w:t xml:space="preserve">an </w:t>
            </w:r>
            <w:r>
              <w:rPr>
                <w:rFonts w:cs="Arial"/>
                <w:sz w:val="20"/>
                <w:lang w:val="en-AU"/>
              </w:rPr>
              <w:t>acknowledg</w:t>
            </w:r>
            <w:r w:rsidR="00F66E50">
              <w:rPr>
                <w:rFonts w:cs="Arial"/>
                <w:sz w:val="20"/>
                <w:lang w:val="en-AU"/>
              </w:rPr>
              <w:t>ment</w:t>
            </w:r>
            <w:r w:rsidR="003C576D">
              <w:rPr>
                <w:rFonts w:cs="Arial"/>
                <w:sz w:val="20"/>
                <w:lang w:val="en-AU"/>
              </w:rPr>
              <w:t xml:space="preserve"> </w:t>
            </w:r>
            <w:r w:rsidR="00D70FD7">
              <w:rPr>
                <w:rFonts w:cs="Arial"/>
                <w:sz w:val="20"/>
                <w:lang w:val="en-AU"/>
              </w:rPr>
              <w:t xml:space="preserve">that </w:t>
            </w:r>
            <w:r>
              <w:rPr>
                <w:rFonts w:cs="Arial"/>
                <w:sz w:val="20"/>
                <w:lang w:val="en-AU"/>
              </w:rPr>
              <w:t>these areas may accommodate an alternative mix of industry and employment</w:t>
            </w:r>
            <w:r w:rsidR="00D70FD7">
              <w:rPr>
                <w:rFonts w:cs="Arial"/>
                <w:sz w:val="20"/>
                <w:lang w:val="en-AU"/>
              </w:rPr>
              <w:t>-</w:t>
            </w:r>
            <w:r>
              <w:rPr>
                <w:rFonts w:cs="Arial"/>
                <w:sz w:val="20"/>
                <w:lang w:val="en-AU"/>
              </w:rPr>
              <w:t>generating</w:t>
            </w:r>
            <w:r w:rsidR="00D70FD7">
              <w:rPr>
                <w:rFonts w:cs="Arial"/>
                <w:sz w:val="20"/>
                <w:lang w:val="en-AU"/>
              </w:rPr>
              <w:t>,</w:t>
            </w:r>
            <w:r>
              <w:rPr>
                <w:rFonts w:cs="Arial"/>
                <w:sz w:val="20"/>
                <w:lang w:val="en-AU"/>
              </w:rPr>
              <w:t xml:space="preserve"> non-industrial uses </w:t>
            </w:r>
            <w:r w:rsidR="004D5D73">
              <w:rPr>
                <w:rFonts w:cs="Arial"/>
                <w:sz w:val="20"/>
                <w:lang w:val="en-AU"/>
              </w:rPr>
              <w:t>where</w:t>
            </w:r>
            <w:r>
              <w:rPr>
                <w:rFonts w:cs="Arial"/>
                <w:sz w:val="20"/>
                <w:lang w:val="en-AU"/>
              </w:rPr>
              <w:t xml:space="preserve"> a comprehensive </w:t>
            </w:r>
            <w:r w:rsidR="00C06E96">
              <w:rPr>
                <w:rFonts w:cs="Arial"/>
                <w:sz w:val="20"/>
                <w:lang w:val="en-AU"/>
              </w:rPr>
              <w:t xml:space="preserve">precinct planning </w:t>
            </w:r>
            <w:r>
              <w:rPr>
                <w:rFonts w:cs="Arial"/>
                <w:sz w:val="20"/>
                <w:lang w:val="en-AU"/>
              </w:rPr>
              <w:t>process</w:t>
            </w:r>
            <w:r w:rsidR="004D5D73">
              <w:rPr>
                <w:rFonts w:cs="Arial"/>
                <w:sz w:val="20"/>
                <w:lang w:val="en-AU"/>
              </w:rPr>
              <w:t xml:space="preserve"> has been undertaken</w:t>
            </w:r>
            <w:r>
              <w:rPr>
                <w:rFonts w:cs="Arial"/>
                <w:sz w:val="20"/>
                <w:lang w:val="en-AU"/>
              </w:rPr>
              <w:t>.</w:t>
            </w:r>
          </w:p>
          <w:p w14:paraId="479677C1" w14:textId="77777777" w:rsidR="00913B97" w:rsidRDefault="00913B97" w:rsidP="003239EB">
            <w:pPr>
              <w:pStyle w:val="SubmissionTable"/>
              <w:spacing w:before="0" w:after="0"/>
              <w:rPr>
                <w:rFonts w:cs="Arial"/>
                <w:sz w:val="20"/>
                <w:lang w:val="en-AU"/>
              </w:rPr>
            </w:pPr>
          </w:p>
          <w:p w14:paraId="36AD1920" w14:textId="727CFCC1" w:rsidR="002228CE" w:rsidRDefault="002228CE" w:rsidP="003239EB">
            <w:pPr>
              <w:spacing w:after="0"/>
              <w:rPr>
                <w:rFonts w:eastAsia="SimSun" w:cs="Arial"/>
                <w:color w:val="000000"/>
                <w:lang w:eastAsia="ja-JP"/>
              </w:rPr>
            </w:pPr>
            <w:r w:rsidRPr="006A7507">
              <w:rPr>
                <w:rFonts w:eastAsia="SimSun" w:cs="Arial"/>
                <w:color w:val="000000"/>
                <w:lang w:eastAsia="ja-JP"/>
              </w:rPr>
              <w:t>In response to submissions,</w:t>
            </w:r>
            <w:r>
              <w:rPr>
                <w:rFonts w:eastAsia="SimSun" w:cs="Arial"/>
                <w:color w:val="000000"/>
                <w:lang w:eastAsia="ja-JP"/>
              </w:rPr>
              <w:t xml:space="preserve"> changes are proposed to further clarify where non-industrial uses may be accommodated.</w:t>
            </w:r>
          </w:p>
          <w:p w14:paraId="3FF9698E" w14:textId="77777777" w:rsidR="00913B97" w:rsidRPr="00913B97" w:rsidRDefault="00913B97" w:rsidP="003239EB">
            <w:pPr>
              <w:spacing w:after="0"/>
            </w:pPr>
          </w:p>
          <w:p w14:paraId="25703FA3" w14:textId="03F8EF13" w:rsidR="00F96F57" w:rsidRDefault="00F96F57" w:rsidP="003239EB">
            <w:pPr>
              <w:pStyle w:val="SubmissionTable"/>
              <w:spacing w:before="0" w:after="0"/>
              <w:rPr>
                <w:rFonts w:cs="Arial"/>
                <w:sz w:val="20"/>
                <w:lang w:val="en-AU"/>
              </w:rPr>
            </w:pPr>
            <w:r>
              <w:rPr>
                <w:rFonts w:cs="Arial"/>
                <w:sz w:val="20"/>
                <w:lang w:val="en-AU"/>
              </w:rPr>
              <w:lastRenderedPageBreak/>
              <w:t xml:space="preserve">The proposed amendment is a stepped change in response to the </w:t>
            </w:r>
            <w:r w:rsidRPr="00913B97">
              <w:rPr>
                <w:rFonts w:cs="Arial"/>
                <w:i/>
                <w:iCs/>
                <w:sz w:val="20"/>
                <w:lang w:val="en-AU"/>
              </w:rPr>
              <w:t>B</w:t>
            </w:r>
            <w:r w:rsidR="004D5D73" w:rsidRPr="00913B97">
              <w:rPr>
                <w:rFonts w:cs="Arial"/>
                <w:i/>
                <w:iCs/>
                <w:sz w:val="20"/>
                <w:lang w:val="en-AU"/>
              </w:rPr>
              <w:t xml:space="preserve">risbane </w:t>
            </w:r>
            <w:r w:rsidRPr="00913B97">
              <w:rPr>
                <w:rFonts w:cs="Arial"/>
                <w:i/>
                <w:iCs/>
                <w:sz w:val="20"/>
                <w:lang w:val="en-AU"/>
              </w:rPr>
              <w:t>I</w:t>
            </w:r>
            <w:r w:rsidR="004D5D73" w:rsidRPr="00913B97">
              <w:rPr>
                <w:rFonts w:cs="Arial"/>
                <w:i/>
                <w:iCs/>
                <w:sz w:val="20"/>
                <w:lang w:val="en-AU"/>
              </w:rPr>
              <w:t xml:space="preserve">ndustrial </w:t>
            </w:r>
            <w:r w:rsidRPr="00913B97">
              <w:rPr>
                <w:rFonts w:cs="Arial"/>
                <w:i/>
                <w:iCs/>
                <w:sz w:val="20"/>
                <w:lang w:val="en-AU"/>
              </w:rPr>
              <w:t>S</w:t>
            </w:r>
            <w:r w:rsidR="004D5D73" w:rsidRPr="00913B97">
              <w:rPr>
                <w:rFonts w:cs="Arial"/>
                <w:i/>
                <w:iCs/>
                <w:sz w:val="20"/>
                <w:lang w:val="en-AU"/>
              </w:rPr>
              <w:t>trategy</w:t>
            </w:r>
            <w:r w:rsidRPr="00913B97">
              <w:rPr>
                <w:rFonts w:cs="Arial"/>
                <w:i/>
                <w:iCs/>
                <w:sz w:val="20"/>
                <w:lang w:val="en-AU"/>
              </w:rPr>
              <w:t xml:space="preserve"> 2019</w:t>
            </w:r>
            <w:r>
              <w:rPr>
                <w:rFonts w:cs="Arial"/>
                <w:sz w:val="20"/>
                <w:lang w:val="en-AU"/>
              </w:rPr>
              <w:t xml:space="preserve"> and the action items.</w:t>
            </w:r>
          </w:p>
          <w:p w14:paraId="5E461FF0" w14:textId="77777777" w:rsidR="00F96F57" w:rsidRDefault="00F96F57" w:rsidP="003239EB">
            <w:pPr>
              <w:pStyle w:val="SubmissionTable"/>
              <w:spacing w:before="0" w:after="0"/>
              <w:rPr>
                <w:rFonts w:cs="Arial"/>
                <w:sz w:val="20"/>
                <w:lang w:val="en-AU"/>
              </w:rPr>
            </w:pPr>
          </w:p>
          <w:p w14:paraId="32508AE0" w14:textId="13BB0275" w:rsidR="00733C3F" w:rsidRPr="005439AF" w:rsidRDefault="004D5D73" w:rsidP="003239EB">
            <w:pPr>
              <w:pStyle w:val="SubmissionTable"/>
              <w:spacing w:before="0" w:after="0"/>
              <w:rPr>
                <w:rFonts w:cs="Arial"/>
                <w:sz w:val="20"/>
                <w:lang w:val="en-AU"/>
              </w:rPr>
            </w:pPr>
            <w:r>
              <w:rPr>
                <w:rFonts w:cs="Arial"/>
                <w:sz w:val="20"/>
                <w:lang w:val="en-AU"/>
              </w:rPr>
              <w:t xml:space="preserve">Following the review of feedback from the community and stakeholders, </w:t>
            </w:r>
            <w:r w:rsidRPr="00C96C04">
              <w:rPr>
                <w:rFonts w:cs="Arial"/>
                <w:i/>
                <w:iCs/>
                <w:sz w:val="20"/>
                <w:lang w:val="en-AU"/>
              </w:rPr>
              <w:t>Our Productive City: Brisbane’s Industrial Future</w:t>
            </w:r>
            <w:r>
              <w:rPr>
                <w:rFonts w:cs="Arial"/>
                <w:i/>
                <w:iCs/>
                <w:sz w:val="20"/>
                <w:lang w:val="en-AU"/>
              </w:rPr>
              <w:t xml:space="preserve"> </w:t>
            </w:r>
            <w:r w:rsidR="00F96F57">
              <w:rPr>
                <w:rFonts w:cs="Arial"/>
                <w:sz w:val="20"/>
                <w:lang w:val="en-AU"/>
              </w:rPr>
              <w:t>will include recommendations and an implementation program that may include further amendments to City Plan</w:t>
            </w:r>
            <w:r w:rsidR="006F3F07">
              <w:rPr>
                <w:rFonts w:cs="Arial"/>
                <w:sz w:val="20"/>
                <w:lang w:val="en-AU"/>
              </w:rPr>
              <w:t>,</w:t>
            </w:r>
            <w:r w:rsidR="00F96F57">
              <w:rPr>
                <w:rFonts w:cs="Arial"/>
                <w:sz w:val="20"/>
                <w:lang w:val="en-AU"/>
              </w:rPr>
              <w:t xml:space="preserve"> addressing the flexibility of uses and built form in industry areas. </w:t>
            </w:r>
          </w:p>
        </w:tc>
        <w:tc>
          <w:tcPr>
            <w:tcW w:w="540" w:type="pct"/>
          </w:tcPr>
          <w:p w14:paraId="56EC87F8" w14:textId="71DB048A" w:rsidR="00F96F57" w:rsidRPr="00EA504A" w:rsidRDefault="002228CE" w:rsidP="003239EB">
            <w:pPr>
              <w:spacing w:after="0"/>
            </w:pPr>
            <w:r>
              <w:lastRenderedPageBreak/>
              <w:t>Change</w:t>
            </w:r>
          </w:p>
        </w:tc>
      </w:tr>
      <w:tr w:rsidR="00F96F57" w14:paraId="08A68792" w14:textId="77777777" w:rsidTr="00D84074">
        <w:tc>
          <w:tcPr>
            <w:tcW w:w="5000" w:type="pct"/>
            <w:gridSpan w:val="4"/>
            <w:shd w:val="clear" w:color="auto" w:fill="BFBFBF" w:themeFill="background1" w:themeFillShade="BF"/>
          </w:tcPr>
          <w:p w14:paraId="6F9A2C68" w14:textId="58AD8F05" w:rsidR="00F96F57" w:rsidRDefault="00F96F57" w:rsidP="00F96F57">
            <w:pPr>
              <w:spacing w:after="0"/>
            </w:pPr>
            <w:r w:rsidRPr="00EC4566">
              <w:rPr>
                <w:b/>
                <w:bCs/>
                <w:i/>
                <w:iCs/>
              </w:rPr>
              <w:t>Site</w:t>
            </w:r>
            <w:r>
              <w:rPr>
                <w:b/>
                <w:bCs/>
                <w:i/>
                <w:iCs/>
              </w:rPr>
              <w:t>/Precinct</w:t>
            </w:r>
            <w:r w:rsidRPr="00EC4566">
              <w:rPr>
                <w:b/>
                <w:bCs/>
                <w:i/>
                <w:iCs/>
              </w:rPr>
              <w:t xml:space="preserve"> Specific </w:t>
            </w:r>
          </w:p>
        </w:tc>
      </w:tr>
      <w:tr w:rsidR="00F96F57" w14:paraId="5E39FEB6" w14:textId="77777777" w:rsidTr="004419FE">
        <w:tc>
          <w:tcPr>
            <w:tcW w:w="587" w:type="pct"/>
          </w:tcPr>
          <w:p w14:paraId="33462549" w14:textId="613E0BBC" w:rsidR="00586932" w:rsidRDefault="00F96F57" w:rsidP="00F96F57">
            <w:pPr>
              <w:spacing w:after="0"/>
            </w:pPr>
            <w:r>
              <w:t>MK-015</w:t>
            </w:r>
          </w:p>
          <w:p w14:paraId="1DF74E70" w14:textId="3BB42A7E" w:rsidR="00586932" w:rsidRDefault="00F96F57" w:rsidP="00F96F57">
            <w:pPr>
              <w:spacing w:after="0"/>
            </w:pPr>
            <w:r>
              <w:t>MK-032</w:t>
            </w:r>
          </w:p>
          <w:p w14:paraId="0D055DA0" w14:textId="2511264E" w:rsidR="00F96F57" w:rsidRDefault="00F96F57" w:rsidP="00F96F57">
            <w:pPr>
              <w:spacing w:after="0"/>
            </w:pPr>
            <w:r>
              <w:t>MK-036</w:t>
            </w:r>
          </w:p>
        </w:tc>
        <w:tc>
          <w:tcPr>
            <w:tcW w:w="1928" w:type="pct"/>
          </w:tcPr>
          <w:p w14:paraId="7664FFB6" w14:textId="348D5709" w:rsidR="00F96F57" w:rsidRDefault="00586932" w:rsidP="00F96F57">
            <w:pPr>
              <w:spacing w:after="0"/>
            </w:pPr>
            <w:r>
              <w:t>The s</w:t>
            </w:r>
            <w:r w:rsidR="00F96F57">
              <w:t xml:space="preserve">ubmitters </w:t>
            </w:r>
            <w:r w:rsidR="00B55B6D">
              <w:t>oppose</w:t>
            </w:r>
            <w:r w:rsidR="00F96F57">
              <w:t xml:space="preserve"> the industry amendments and specifically refer to concerns for the Newstead area, including:</w:t>
            </w:r>
          </w:p>
          <w:p w14:paraId="5A46AD0B" w14:textId="567CC985" w:rsidR="00F96F57" w:rsidRDefault="00F96F57" w:rsidP="00F96F57">
            <w:pPr>
              <w:pStyle w:val="ListParagraph"/>
              <w:numPr>
                <w:ilvl w:val="0"/>
                <w:numId w:val="35"/>
              </w:numPr>
              <w:spacing w:after="0"/>
            </w:pPr>
            <w:r>
              <w:t xml:space="preserve">Newstead has minimal industry uses remaining, so to only allow industry (with very limited other uses) in the industrial areas stops redevelopment opportunities and would increase land use conflicts. </w:t>
            </w:r>
          </w:p>
          <w:p w14:paraId="2710D8EA" w14:textId="1EB15FC2" w:rsidR="00F96F57" w:rsidRDefault="00F96F57" w:rsidP="00F96F57">
            <w:pPr>
              <w:pStyle w:val="ListParagraph"/>
              <w:numPr>
                <w:ilvl w:val="0"/>
                <w:numId w:val="35"/>
              </w:numPr>
              <w:spacing w:after="0"/>
            </w:pPr>
            <w:r>
              <w:t>Newstead should be treated differently given its unique location and that existing land uses would prevent traditional industrial businesses establishing.</w:t>
            </w:r>
          </w:p>
          <w:p w14:paraId="21F7EF1E" w14:textId="0E172FD5" w:rsidR="00F96F57" w:rsidRDefault="00B55B6D" w:rsidP="00F96F57">
            <w:pPr>
              <w:pStyle w:val="ListParagraph"/>
              <w:numPr>
                <w:ilvl w:val="0"/>
                <w:numId w:val="36"/>
              </w:numPr>
              <w:spacing w:after="0"/>
            </w:pPr>
            <w:r>
              <w:t>Allow c</w:t>
            </w:r>
            <w:r w:rsidR="00F96F57">
              <w:t xml:space="preserve">hanges relating to the Newstead north </w:t>
            </w:r>
            <w:proofErr w:type="spellStart"/>
            <w:r w:rsidR="00F96F57">
              <w:t>neighbourhood</w:t>
            </w:r>
            <w:proofErr w:type="spellEnd"/>
            <w:r w:rsidR="00F96F57">
              <w:t xml:space="preserve"> plan to allow for a more diverse mix of uses and zones.</w:t>
            </w:r>
          </w:p>
          <w:p w14:paraId="21E5775A" w14:textId="42826D54" w:rsidR="00F96F57" w:rsidRDefault="00F96F57" w:rsidP="00F96F57">
            <w:pPr>
              <w:pStyle w:val="ListParagraph"/>
              <w:numPr>
                <w:ilvl w:val="0"/>
                <w:numId w:val="36"/>
              </w:numPr>
              <w:spacing w:after="0"/>
            </w:pPr>
            <w:r>
              <w:t>Stop industry components of Major amendment K as they apply to Newstead, to avoid confusion and uncertainty.</w:t>
            </w:r>
          </w:p>
        </w:tc>
        <w:tc>
          <w:tcPr>
            <w:tcW w:w="1945" w:type="pct"/>
            <w:shd w:val="clear" w:color="auto" w:fill="auto"/>
          </w:tcPr>
          <w:p w14:paraId="751D7112" w14:textId="129E2992" w:rsidR="00F96F57" w:rsidRDefault="00F96F57" w:rsidP="00F96F57">
            <w:pPr>
              <w:spacing w:after="0"/>
            </w:pPr>
            <w:r>
              <w:t>The proposed amendment applies citywide to industrial</w:t>
            </w:r>
            <w:r w:rsidR="003239EB">
              <w:noBreakHyphen/>
            </w:r>
            <w:r>
              <w:t>zoned land and does not seek to change locally</w:t>
            </w:r>
            <w:r w:rsidR="003239EB">
              <w:noBreakHyphen/>
            </w:r>
            <w:r>
              <w:t xml:space="preserve">specific provisions, including the Newstead north </w:t>
            </w:r>
            <w:proofErr w:type="spellStart"/>
            <w:r>
              <w:t>neighbourhood</w:t>
            </w:r>
            <w:proofErr w:type="spellEnd"/>
            <w:r>
              <w:t xml:space="preserve"> plan. </w:t>
            </w:r>
          </w:p>
          <w:p w14:paraId="0587B362" w14:textId="77777777" w:rsidR="00F96F57" w:rsidRDefault="00F96F57" w:rsidP="00F96F57">
            <w:pPr>
              <w:spacing w:after="0"/>
            </w:pPr>
          </w:p>
          <w:p w14:paraId="7F7FE81E" w14:textId="31CBDCBA" w:rsidR="00F96F57" w:rsidRDefault="00F96F57" w:rsidP="00F96F57">
            <w:pPr>
              <w:spacing w:after="0"/>
            </w:pPr>
            <w:r w:rsidRPr="00483043">
              <w:t>Where there is inconsistency between provisions in the</w:t>
            </w:r>
            <w:r>
              <w:t xml:space="preserve"> </w:t>
            </w:r>
            <w:proofErr w:type="spellStart"/>
            <w:r w:rsidRPr="00EA550D">
              <w:t>neighbourhood</w:t>
            </w:r>
            <w:proofErr w:type="spellEnd"/>
            <w:r w:rsidRPr="00EA550D">
              <w:t xml:space="preserve"> plan codes, use codes and other development codes, </w:t>
            </w:r>
            <w:r w:rsidRPr="00483043">
              <w:t xml:space="preserve">the </w:t>
            </w:r>
            <w:proofErr w:type="spellStart"/>
            <w:r w:rsidRPr="00EA550D">
              <w:t>neighbourhood</w:t>
            </w:r>
            <w:proofErr w:type="spellEnd"/>
            <w:r w:rsidRPr="00EA550D">
              <w:t xml:space="preserve"> plan codes prevail to the</w:t>
            </w:r>
            <w:r>
              <w:t xml:space="preserve"> </w:t>
            </w:r>
            <w:r w:rsidRPr="00EA550D">
              <w:t>extent of the inconsistency</w:t>
            </w:r>
            <w:r>
              <w:t>.</w:t>
            </w:r>
            <w:r w:rsidRPr="00483043">
              <w:t xml:space="preserve"> </w:t>
            </w:r>
          </w:p>
          <w:p w14:paraId="7BBE9ED9" w14:textId="0DF5379F" w:rsidR="00F96F57" w:rsidRDefault="00F96F57" w:rsidP="00F96F57">
            <w:pPr>
              <w:spacing w:after="0"/>
            </w:pPr>
          </w:p>
          <w:p w14:paraId="34AA91C6" w14:textId="33AEAB9A" w:rsidR="00C00C4F" w:rsidRPr="004E456E" w:rsidRDefault="00C00C4F" w:rsidP="00C00C4F">
            <w:pPr>
              <w:spacing w:after="0"/>
              <w:rPr>
                <w:color w:val="000000"/>
                <w:lang w:eastAsia="ja-JP"/>
              </w:rPr>
            </w:pPr>
            <w:r w:rsidRPr="004E456E">
              <w:rPr>
                <w:color w:val="000000"/>
                <w:lang w:eastAsia="ja-JP"/>
              </w:rPr>
              <w:t>Queensland Government legislation requires City Plan to be a performance</w:t>
            </w:r>
            <w:r w:rsidR="00D70FD7">
              <w:rPr>
                <w:color w:val="000000"/>
                <w:lang w:eastAsia="ja-JP"/>
              </w:rPr>
              <w:t>-</w:t>
            </w:r>
            <w:r w:rsidRPr="004E456E">
              <w:rPr>
                <w:color w:val="000000"/>
                <w:lang w:eastAsia="ja-JP"/>
              </w:rPr>
              <w:t xml:space="preserve">based planning scheme, </w:t>
            </w:r>
            <w:r>
              <w:rPr>
                <w:color w:val="000000"/>
                <w:lang w:eastAsia="ja-JP"/>
              </w:rPr>
              <w:t xml:space="preserve">ensuring </w:t>
            </w:r>
            <w:r w:rsidR="00D70FD7">
              <w:rPr>
                <w:color w:val="000000"/>
                <w:lang w:eastAsia="ja-JP"/>
              </w:rPr>
              <w:t xml:space="preserve">that </w:t>
            </w:r>
            <w:r>
              <w:rPr>
                <w:color w:val="000000"/>
                <w:lang w:eastAsia="ja-JP"/>
              </w:rPr>
              <w:t>applicants are provided</w:t>
            </w:r>
            <w:r w:rsidRPr="004E456E">
              <w:rPr>
                <w:color w:val="000000"/>
                <w:lang w:eastAsia="ja-JP"/>
              </w:rPr>
              <w:t xml:space="preserve"> </w:t>
            </w:r>
            <w:r w:rsidR="00D70FD7">
              <w:rPr>
                <w:color w:val="000000"/>
                <w:lang w:eastAsia="ja-JP"/>
              </w:rPr>
              <w:t xml:space="preserve">with </w:t>
            </w:r>
            <w:r w:rsidRPr="004E456E">
              <w:rPr>
                <w:color w:val="000000"/>
                <w:lang w:eastAsia="ja-JP"/>
              </w:rPr>
              <w:t>the opportunity for alternative solutions which meet the requirements of the performance outcome</w:t>
            </w:r>
            <w:r>
              <w:rPr>
                <w:color w:val="000000"/>
                <w:lang w:eastAsia="ja-JP"/>
              </w:rPr>
              <w:t>s</w:t>
            </w:r>
            <w:r w:rsidRPr="004E456E">
              <w:rPr>
                <w:color w:val="000000"/>
                <w:lang w:eastAsia="ja-JP"/>
              </w:rPr>
              <w:t>.</w:t>
            </w:r>
          </w:p>
          <w:p w14:paraId="189CF3B8" w14:textId="77777777" w:rsidR="00586932" w:rsidRDefault="00586932" w:rsidP="00F96F57">
            <w:pPr>
              <w:spacing w:after="0"/>
            </w:pPr>
          </w:p>
          <w:p w14:paraId="7B208252" w14:textId="74140458" w:rsidR="00F96F57" w:rsidDel="0055271C" w:rsidRDefault="00F96F57" w:rsidP="00F96F57">
            <w:pPr>
              <w:spacing w:after="0"/>
            </w:pPr>
            <w:r>
              <w:t>Council has an obligation to assess an application on its merits, whil</w:t>
            </w:r>
            <w:r w:rsidR="00C20356">
              <w:t>st</w:t>
            </w:r>
            <w:r>
              <w:t xml:space="preserve"> </w:t>
            </w:r>
            <w:proofErr w:type="spellStart"/>
            <w:r w:rsidR="00C20356">
              <w:t>recognising</w:t>
            </w:r>
            <w:proofErr w:type="spellEnd"/>
            <w:r>
              <w:t xml:space="preserve"> the need to provide for the intended built form, amenity and living environment envisaged by City Plan.</w:t>
            </w:r>
          </w:p>
        </w:tc>
        <w:tc>
          <w:tcPr>
            <w:tcW w:w="540" w:type="pct"/>
          </w:tcPr>
          <w:p w14:paraId="293480B2" w14:textId="1C9DE8AA" w:rsidR="00F96F57" w:rsidRDefault="00F96F57" w:rsidP="00F96F57">
            <w:pPr>
              <w:spacing w:after="0"/>
            </w:pPr>
            <w:r>
              <w:t>No change</w:t>
            </w:r>
          </w:p>
        </w:tc>
      </w:tr>
      <w:tr w:rsidR="00F96F57" w14:paraId="4B2762CF" w14:textId="77777777" w:rsidTr="004419FE">
        <w:tc>
          <w:tcPr>
            <w:tcW w:w="587" w:type="pct"/>
          </w:tcPr>
          <w:p w14:paraId="7BBF697C" w14:textId="726B03FB" w:rsidR="00F96F57" w:rsidRDefault="00F96F57" w:rsidP="00F96F57">
            <w:pPr>
              <w:spacing w:after="0"/>
            </w:pPr>
            <w:r>
              <w:t>MK-020</w:t>
            </w:r>
          </w:p>
        </w:tc>
        <w:tc>
          <w:tcPr>
            <w:tcW w:w="1928" w:type="pct"/>
          </w:tcPr>
          <w:p w14:paraId="645D90C9" w14:textId="6309CAC3" w:rsidR="00F96F57" w:rsidRDefault="00586932" w:rsidP="00F96F57">
            <w:pPr>
              <w:spacing w:after="0"/>
            </w:pPr>
            <w:r>
              <w:t>The s</w:t>
            </w:r>
            <w:r w:rsidR="00F96F57">
              <w:t xml:space="preserve">ubmitter identifies that </w:t>
            </w:r>
            <w:r>
              <w:t>Industry (</w:t>
            </w:r>
            <w:r w:rsidR="00F96F57">
              <w:t>G</w:t>
            </w:r>
            <w:r>
              <w:t>eneral industry</w:t>
            </w:r>
            <w:r w:rsidR="00D70FD7">
              <w:t> </w:t>
            </w:r>
            <w:r w:rsidR="00F96F57">
              <w:t>C zone precinct</w:t>
            </w:r>
            <w:r>
              <w:t>)</w:t>
            </w:r>
            <w:r w:rsidR="00F96F57">
              <w:t xml:space="preserve"> land in </w:t>
            </w:r>
            <w:proofErr w:type="spellStart"/>
            <w:r w:rsidR="00F96F57" w:rsidRPr="00C31544">
              <w:t>Pinkenba</w:t>
            </w:r>
            <w:proofErr w:type="spellEnd"/>
            <w:r w:rsidR="00F96F57">
              <w:t xml:space="preserve"> is within 500</w:t>
            </w:r>
            <w:r w:rsidR="00D70FD7">
              <w:t> </w:t>
            </w:r>
            <w:r w:rsidR="00F96F57">
              <w:t xml:space="preserve">m of residential areas (including the former </w:t>
            </w:r>
            <w:proofErr w:type="spellStart"/>
            <w:r w:rsidR="00F96F57">
              <w:t>Incitec</w:t>
            </w:r>
            <w:proofErr w:type="spellEnd"/>
            <w:r w:rsidR="00F96F57">
              <w:t xml:space="preserve"> fertilizer manufacturing plant).</w:t>
            </w:r>
          </w:p>
          <w:p w14:paraId="7488609C" w14:textId="77777777" w:rsidR="00F96F57" w:rsidRDefault="00F96F57" w:rsidP="00F96F57">
            <w:pPr>
              <w:spacing w:after="0"/>
            </w:pPr>
          </w:p>
          <w:p w14:paraId="35559909" w14:textId="39E03319" w:rsidR="00F96F57" w:rsidRDefault="00B55B6D" w:rsidP="00F96F57">
            <w:pPr>
              <w:spacing w:after="0"/>
            </w:pPr>
            <w:r>
              <w:t>The s</w:t>
            </w:r>
            <w:r w:rsidR="00F96F57">
              <w:t xml:space="preserve">ubmitter suggests </w:t>
            </w:r>
            <w:r w:rsidR="00D70FD7">
              <w:t xml:space="preserve">that </w:t>
            </w:r>
            <w:r w:rsidR="00F96F57">
              <w:t xml:space="preserve">the </w:t>
            </w:r>
            <w:proofErr w:type="gramStart"/>
            <w:r w:rsidR="00F96F57">
              <w:t>Industry</w:t>
            </w:r>
            <w:proofErr w:type="gramEnd"/>
            <w:r w:rsidR="00F96F57">
              <w:t xml:space="preserve"> code be amended to allow for</w:t>
            </w:r>
            <w:r w:rsidR="00F96F57" w:rsidRPr="00C31544">
              <w:t xml:space="preserve"> </w:t>
            </w:r>
            <w:r w:rsidR="006B471B">
              <w:t>l</w:t>
            </w:r>
            <w:r w:rsidR="00F96F57" w:rsidRPr="00C31544">
              <w:t>ow</w:t>
            </w:r>
            <w:r w:rsidR="006F3F07">
              <w:t xml:space="preserve"> </w:t>
            </w:r>
            <w:r w:rsidR="006B471B">
              <w:t xml:space="preserve">impact industry </w:t>
            </w:r>
            <w:r w:rsidR="00F96F57" w:rsidRPr="00C31544">
              <w:t xml:space="preserve">and </w:t>
            </w:r>
            <w:r w:rsidR="006B471B">
              <w:t>m</w:t>
            </w:r>
            <w:r w:rsidR="00F96F57" w:rsidRPr="00C31544">
              <w:t xml:space="preserve">edium </w:t>
            </w:r>
            <w:r w:rsidR="00F96F57">
              <w:t>i</w:t>
            </w:r>
            <w:r w:rsidR="00F96F57" w:rsidRPr="00C31544">
              <w:t xml:space="preserve">mpact </w:t>
            </w:r>
            <w:r w:rsidR="00F96F57">
              <w:t>i</w:t>
            </w:r>
            <w:r w:rsidR="00F96F57" w:rsidRPr="00C31544">
              <w:t>ndustr</w:t>
            </w:r>
            <w:r w:rsidR="006B471B">
              <w:t>y</w:t>
            </w:r>
            <w:r w:rsidR="00F96F57" w:rsidRPr="00C31544">
              <w:t xml:space="preserve"> in </w:t>
            </w:r>
            <w:r w:rsidR="00586932">
              <w:t xml:space="preserve">this zone </w:t>
            </w:r>
            <w:r w:rsidR="00EB7659">
              <w:t>precinct</w:t>
            </w:r>
            <w:r w:rsidR="00F96F57" w:rsidRPr="00C31544">
              <w:t>, where within 500</w:t>
            </w:r>
            <w:r w:rsidR="00D70FD7">
              <w:t> </w:t>
            </w:r>
            <w:r w:rsidR="00F96F57" w:rsidRPr="00C31544">
              <w:t xml:space="preserve">m of </w:t>
            </w:r>
            <w:r w:rsidR="00F96F57">
              <w:t>r</w:t>
            </w:r>
            <w:r w:rsidR="00F96F57" w:rsidRPr="00C31544">
              <w:t xml:space="preserve">esidential </w:t>
            </w:r>
            <w:r w:rsidR="00F96F57" w:rsidRPr="00C31544">
              <w:lastRenderedPageBreak/>
              <w:t>areas</w:t>
            </w:r>
            <w:r w:rsidR="00F96F57">
              <w:t>, or</w:t>
            </w:r>
            <w:r w:rsidR="00F96F57" w:rsidRPr="00C31544">
              <w:t xml:space="preserve"> </w:t>
            </w:r>
            <w:r w:rsidR="00F96F57">
              <w:t>alternatively rezone G</w:t>
            </w:r>
            <w:r w:rsidR="00586932">
              <w:t>eneral industry</w:t>
            </w:r>
            <w:r w:rsidR="00EB7659">
              <w:t xml:space="preserve"> </w:t>
            </w:r>
            <w:r w:rsidR="00F96F57">
              <w:t>C zone precinct areas closer than 500</w:t>
            </w:r>
            <w:r w:rsidR="00D70FD7">
              <w:t> </w:t>
            </w:r>
            <w:r w:rsidR="00F96F57">
              <w:t xml:space="preserve">m to residential areas. </w:t>
            </w:r>
          </w:p>
          <w:p w14:paraId="36ABCDC4" w14:textId="31E9F9A7" w:rsidR="00F96F57" w:rsidRDefault="00F96F57" w:rsidP="00F96F57"/>
        </w:tc>
        <w:tc>
          <w:tcPr>
            <w:tcW w:w="1945" w:type="pct"/>
            <w:shd w:val="clear" w:color="auto" w:fill="auto"/>
          </w:tcPr>
          <w:p w14:paraId="1A8BBEF1" w14:textId="29889581" w:rsidR="00F96F57" w:rsidRDefault="00F96F57" w:rsidP="00F96F57">
            <w:pPr>
              <w:spacing w:after="0"/>
            </w:pPr>
            <w:r w:rsidRPr="000433F3">
              <w:lastRenderedPageBreak/>
              <w:t>The proposed amendment applies citywide to industrial</w:t>
            </w:r>
            <w:r w:rsidR="004419FE">
              <w:noBreakHyphen/>
            </w:r>
            <w:r w:rsidRPr="000433F3">
              <w:t>zoned land and does not seek to change locally</w:t>
            </w:r>
            <w:r w:rsidR="004419FE">
              <w:noBreakHyphen/>
            </w:r>
            <w:r w:rsidRPr="000433F3">
              <w:t xml:space="preserve">specific provisions, including the </w:t>
            </w:r>
            <w:proofErr w:type="spellStart"/>
            <w:r w:rsidRPr="000433F3">
              <w:t>Pinkenba</w:t>
            </w:r>
            <w:proofErr w:type="spellEnd"/>
            <w:r w:rsidR="004419FE">
              <w:t>—</w:t>
            </w:r>
            <w:r w:rsidRPr="000433F3">
              <w:t xml:space="preserve">Eagle Farm </w:t>
            </w:r>
            <w:proofErr w:type="spellStart"/>
            <w:r w:rsidRPr="000433F3">
              <w:t>neighbourhood</w:t>
            </w:r>
            <w:proofErr w:type="spellEnd"/>
            <w:r w:rsidRPr="000433F3">
              <w:t xml:space="preserve"> plan or site</w:t>
            </w:r>
            <w:r w:rsidR="00D70FD7">
              <w:t>-</w:t>
            </w:r>
            <w:r w:rsidRPr="000433F3">
              <w:t>based zoning</w:t>
            </w:r>
            <w:r w:rsidR="003B133E">
              <w:t xml:space="preserve">. </w:t>
            </w:r>
          </w:p>
          <w:p w14:paraId="48A7857F" w14:textId="77777777" w:rsidR="00D73CF8" w:rsidRDefault="00D73CF8" w:rsidP="00F96F57">
            <w:pPr>
              <w:spacing w:after="0"/>
            </w:pPr>
          </w:p>
          <w:p w14:paraId="4C9DB30B" w14:textId="083A8943" w:rsidR="00F96F57" w:rsidRDefault="00F96F57" w:rsidP="00D73CF8">
            <w:pPr>
              <w:spacing w:after="0"/>
            </w:pPr>
            <w:r>
              <w:t xml:space="preserve">The </w:t>
            </w:r>
            <w:proofErr w:type="spellStart"/>
            <w:r w:rsidRPr="00811672">
              <w:t>Pinkenb</w:t>
            </w:r>
            <w:r>
              <w:t>a</w:t>
            </w:r>
            <w:proofErr w:type="spellEnd"/>
            <w:r w:rsidR="004419FE">
              <w:t>—</w:t>
            </w:r>
            <w:r w:rsidRPr="00811672">
              <w:t xml:space="preserve">Eagle Farm </w:t>
            </w:r>
            <w:proofErr w:type="spellStart"/>
            <w:r>
              <w:t>neighbourhood</w:t>
            </w:r>
            <w:proofErr w:type="spellEnd"/>
            <w:r>
              <w:t xml:space="preserve"> plan </w:t>
            </w:r>
            <w:proofErr w:type="spellStart"/>
            <w:r>
              <w:t>recognises</w:t>
            </w:r>
            <w:proofErr w:type="spellEnd"/>
            <w:r>
              <w:t xml:space="preserve"> </w:t>
            </w:r>
            <w:r w:rsidR="00D70FD7">
              <w:t xml:space="preserve">that </w:t>
            </w:r>
            <w:r>
              <w:t>d</w:t>
            </w:r>
            <w:r w:rsidRPr="00811672">
              <w:t>evelopment for high</w:t>
            </w:r>
            <w:r w:rsidR="00D70FD7">
              <w:t>-</w:t>
            </w:r>
            <w:r w:rsidRPr="00811672">
              <w:t>impact industry within the minimum separation distances</w:t>
            </w:r>
            <w:r>
              <w:t xml:space="preserve"> to residential areas </w:t>
            </w:r>
            <w:r w:rsidRPr="00811672">
              <w:t xml:space="preserve">may </w:t>
            </w:r>
            <w:r w:rsidRPr="00811672">
              <w:lastRenderedPageBreak/>
              <w:t xml:space="preserve">continue to be accommodated in </w:t>
            </w:r>
            <w:proofErr w:type="spellStart"/>
            <w:r w:rsidRPr="00811672">
              <w:t>Pinkenba</w:t>
            </w:r>
            <w:proofErr w:type="spellEnd"/>
            <w:r>
              <w:t>,</w:t>
            </w:r>
            <w:r w:rsidRPr="00811672">
              <w:t xml:space="preserve"> where</w:t>
            </w:r>
            <w:r>
              <w:t xml:space="preserve"> </w:t>
            </w:r>
            <w:r w:rsidRPr="00811672">
              <w:t>it can be demonstrated</w:t>
            </w:r>
            <w:r>
              <w:t xml:space="preserve"> </w:t>
            </w:r>
            <w:r w:rsidR="00D70FD7">
              <w:t xml:space="preserve">that </w:t>
            </w:r>
            <w:r>
              <w:t>the</w:t>
            </w:r>
            <w:r w:rsidRPr="00811672">
              <w:t xml:space="preserve"> use will not significantly impact on sensitive land</w:t>
            </w:r>
            <w:r w:rsidR="00586932">
              <w:t xml:space="preserve"> uses</w:t>
            </w:r>
            <w:r w:rsidRPr="00811672">
              <w:t>. The encroachment of lower</w:t>
            </w:r>
            <w:r w:rsidR="00D70FD7">
              <w:t>-</w:t>
            </w:r>
            <w:r w:rsidRPr="00811672">
              <w:t>order industrial activities into precincts identified for high</w:t>
            </w:r>
            <w:r w:rsidR="00EE76EB">
              <w:t xml:space="preserve"> </w:t>
            </w:r>
            <w:r w:rsidRPr="00811672">
              <w:t>impact or special</w:t>
            </w:r>
            <w:r w:rsidR="00EE76EB">
              <w:t xml:space="preserve"> </w:t>
            </w:r>
            <w:r w:rsidRPr="00811672">
              <w:t>industry uses is not supported.</w:t>
            </w:r>
          </w:p>
          <w:p w14:paraId="53722C76" w14:textId="77777777" w:rsidR="00F96F57" w:rsidRPr="00937D2D" w:rsidRDefault="00F96F57" w:rsidP="00F96F57">
            <w:pPr>
              <w:spacing w:after="0"/>
            </w:pPr>
          </w:p>
          <w:p w14:paraId="00EE5011" w14:textId="520F70FB" w:rsidR="00C20356" w:rsidRPr="004E456E" w:rsidRDefault="00C20356" w:rsidP="00C20356">
            <w:pPr>
              <w:spacing w:after="0"/>
              <w:rPr>
                <w:color w:val="000000"/>
                <w:lang w:eastAsia="ja-JP"/>
              </w:rPr>
            </w:pPr>
            <w:r w:rsidRPr="004E456E">
              <w:rPr>
                <w:color w:val="000000"/>
                <w:lang w:eastAsia="ja-JP"/>
              </w:rPr>
              <w:t>Queensland Government legislation requires City Plan to be a performance</w:t>
            </w:r>
            <w:r w:rsidR="00D70FD7">
              <w:rPr>
                <w:color w:val="000000"/>
                <w:lang w:eastAsia="ja-JP"/>
              </w:rPr>
              <w:t>-</w:t>
            </w:r>
            <w:r w:rsidRPr="004E456E">
              <w:rPr>
                <w:color w:val="000000"/>
                <w:lang w:eastAsia="ja-JP"/>
              </w:rPr>
              <w:t xml:space="preserve">based planning scheme, </w:t>
            </w:r>
            <w:r>
              <w:rPr>
                <w:color w:val="000000"/>
                <w:lang w:eastAsia="ja-JP"/>
              </w:rPr>
              <w:t xml:space="preserve">ensuring </w:t>
            </w:r>
            <w:r w:rsidR="00D70FD7">
              <w:rPr>
                <w:color w:val="000000"/>
                <w:lang w:eastAsia="ja-JP"/>
              </w:rPr>
              <w:t xml:space="preserve">that </w:t>
            </w:r>
            <w:r>
              <w:rPr>
                <w:color w:val="000000"/>
                <w:lang w:eastAsia="ja-JP"/>
              </w:rPr>
              <w:t>applicants are provided</w:t>
            </w:r>
            <w:r w:rsidRPr="004E456E">
              <w:rPr>
                <w:color w:val="000000"/>
                <w:lang w:eastAsia="ja-JP"/>
              </w:rPr>
              <w:t xml:space="preserve"> </w:t>
            </w:r>
            <w:r w:rsidR="00D70FD7">
              <w:rPr>
                <w:color w:val="000000"/>
                <w:lang w:eastAsia="ja-JP"/>
              </w:rPr>
              <w:t xml:space="preserve">with </w:t>
            </w:r>
            <w:r w:rsidRPr="004E456E">
              <w:rPr>
                <w:color w:val="000000"/>
                <w:lang w:eastAsia="ja-JP"/>
              </w:rPr>
              <w:t>the opportunity for alternative solutions which meet the requirements of the performance outcome</w:t>
            </w:r>
            <w:r>
              <w:rPr>
                <w:color w:val="000000"/>
                <w:lang w:eastAsia="ja-JP"/>
              </w:rPr>
              <w:t>s</w:t>
            </w:r>
            <w:r w:rsidRPr="004E456E">
              <w:rPr>
                <w:color w:val="000000"/>
                <w:lang w:eastAsia="ja-JP"/>
              </w:rPr>
              <w:t>.</w:t>
            </w:r>
          </w:p>
          <w:p w14:paraId="64B2AF9C" w14:textId="77777777" w:rsidR="00586932" w:rsidRDefault="00586932" w:rsidP="00F96F57">
            <w:pPr>
              <w:spacing w:after="0"/>
            </w:pPr>
          </w:p>
          <w:p w14:paraId="0517577E" w14:textId="677A94FE" w:rsidR="00F96F57" w:rsidRDefault="00F96F57" w:rsidP="004419FE">
            <w:pPr>
              <w:keepNext/>
              <w:keepLines/>
              <w:spacing w:after="0"/>
            </w:pPr>
            <w:r>
              <w:t xml:space="preserve">Council has an obligation to assess an application on its merits, </w:t>
            </w:r>
            <w:r w:rsidR="00C20356">
              <w:t xml:space="preserve">whilst </w:t>
            </w:r>
            <w:proofErr w:type="spellStart"/>
            <w:r w:rsidR="00C20356">
              <w:t>recognising</w:t>
            </w:r>
            <w:proofErr w:type="spellEnd"/>
            <w:r w:rsidR="00C20356">
              <w:t xml:space="preserve"> </w:t>
            </w:r>
            <w:r>
              <w:t>the need to provide for the intended built form, amenity and living environment as envisaged by City Plan.</w:t>
            </w:r>
          </w:p>
        </w:tc>
        <w:tc>
          <w:tcPr>
            <w:tcW w:w="540" w:type="pct"/>
          </w:tcPr>
          <w:p w14:paraId="6B843D0F" w14:textId="00038963" w:rsidR="00F96F57" w:rsidRDefault="00F96F57" w:rsidP="00F96F57">
            <w:pPr>
              <w:spacing w:after="0"/>
            </w:pPr>
            <w:r>
              <w:lastRenderedPageBreak/>
              <w:t>No change</w:t>
            </w:r>
          </w:p>
        </w:tc>
      </w:tr>
    </w:tbl>
    <w:p w14:paraId="77A51209" w14:textId="77777777" w:rsidR="00B55B6D" w:rsidRDefault="00B55B6D" w:rsidP="002D0222">
      <w:pPr>
        <w:pStyle w:val="Heading3"/>
        <w:spacing w:after="0"/>
      </w:pPr>
    </w:p>
    <w:p w14:paraId="187B175F" w14:textId="644E4B1A" w:rsidR="00651DF1" w:rsidRDefault="003B133E" w:rsidP="00BD3F4B">
      <w:pPr>
        <w:pStyle w:val="Heading5"/>
      </w:pPr>
      <w:r>
        <w:t xml:space="preserve">3.3.2 </w:t>
      </w:r>
      <w:r w:rsidR="00651DF1" w:rsidRPr="00693401">
        <w:t>Industry changes – Brisbane Industrial Strategy Review</w:t>
      </w:r>
      <w:r>
        <w:t xml:space="preserve"> 2021</w:t>
      </w:r>
    </w:p>
    <w:p w14:paraId="6553CCA7" w14:textId="77777777" w:rsidR="001164A3" w:rsidRDefault="001164A3" w:rsidP="002D0222">
      <w:pPr>
        <w:spacing w:after="0"/>
        <w:rPr>
          <w:highlight w:val="yellow"/>
        </w:rPr>
      </w:pPr>
    </w:p>
    <w:p w14:paraId="4260EE77" w14:textId="52A3C184" w:rsidR="00700ADF" w:rsidRDefault="00BA1182" w:rsidP="002D0222">
      <w:pPr>
        <w:spacing w:after="0"/>
      </w:pPr>
      <w:r w:rsidRPr="003B133E">
        <w:t xml:space="preserve">The </w:t>
      </w:r>
      <w:r w:rsidRPr="003B133E">
        <w:rPr>
          <w:i/>
          <w:iCs/>
        </w:rPr>
        <w:t>Brisban</w:t>
      </w:r>
      <w:r w:rsidR="00802BDA" w:rsidRPr="003B133E">
        <w:rPr>
          <w:i/>
          <w:iCs/>
        </w:rPr>
        <w:t>e Industrial Strategy</w:t>
      </w:r>
      <w:r w:rsidR="0054546F" w:rsidRPr="003B133E">
        <w:rPr>
          <w:i/>
          <w:iCs/>
        </w:rPr>
        <w:t xml:space="preserve"> 2019</w:t>
      </w:r>
      <w:r w:rsidR="0054546F" w:rsidRPr="003B133E">
        <w:t xml:space="preserve"> </w:t>
      </w:r>
      <w:r w:rsidR="00802BDA" w:rsidRPr="003B133E">
        <w:t>was</w:t>
      </w:r>
      <w:r w:rsidR="0054546F" w:rsidRPr="003B133E">
        <w:t xml:space="preserve"> reviewed</w:t>
      </w:r>
      <w:r w:rsidR="003333F3" w:rsidRPr="003B133E">
        <w:t xml:space="preserve"> in 2021</w:t>
      </w:r>
      <w:r w:rsidR="0054546F" w:rsidRPr="003B133E">
        <w:t xml:space="preserve"> a</w:t>
      </w:r>
      <w:r w:rsidR="007067E7" w:rsidRPr="003B133E">
        <w:t>nd</w:t>
      </w:r>
      <w:r w:rsidR="007201A5" w:rsidRPr="003B133E">
        <w:t xml:space="preserve"> released as</w:t>
      </w:r>
      <w:r w:rsidR="006E1FD8" w:rsidRPr="003B133E">
        <w:t xml:space="preserve"> a draft</w:t>
      </w:r>
      <w:r w:rsidR="004C1215" w:rsidRPr="003B133E">
        <w:t xml:space="preserve"> strategy,</w:t>
      </w:r>
      <w:r w:rsidR="007201A5" w:rsidRPr="003B133E">
        <w:t xml:space="preserve"> </w:t>
      </w:r>
      <w:r w:rsidR="007201A5" w:rsidRPr="003B133E">
        <w:rPr>
          <w:i/>
          <w:iCs/>
        </w:rPr>
        <w:t xml:space="preserve">Our Productive City: Brisbane’s Industrial </w:t>
      </w:r>
      <w:r w:rsidR="00CF7FE1" w:rsidRPr="003B133E">
        <w:rPr>
          <w:i/>
          <w:iCs/>
        </w:rPr>
        <w:t>Future</w:t>
      </w:r>
      <w:r w:rsidR="007067E7" w:rsidRPr="003B133E">
        <w:t xml:space="preserve"> </w:t>
      </w:r>
      <w:r w:rsidR="00CF7FE1" w:rsidRPr="003B133E">
        <w:t>for</w:t>
      </w:r>
      <w:r w:rsidR="007067E7" w:rsidRPr="003B133E">
        <w:t xml:space="preserve"> consultation from 21 June to</w:t>
      </w:r>
      <w:r w:rsidR="00CF7FE1" w:rsidRPr="003B133E">
        <w:t xml:space="preserve"> </w:t>
      </w:r>
      <w:r w:rsidR="007201A5" w:rsidRPr="003B133E">
        <w:t>23 August 2021</w:t>
      </w:r>
      <w:r w:rsidR="00CF7FE1" w:rsidRPr="003B133E">
        <w:t>.</w:t>
      </w:r>
      <w:r w:rsidR="00C92E74" w:rsidRPr="003B133E">
        <w:t xml:space="preserve"> The </w:t>
      </w:r>
      <w:r w:rsidR="005108D5" w:rsidRPr="003B133E">
        <w:t xml:space="preserve">following </w:t>
      </w:r>
      <w:r w:rsidR="00C92E74" w:rsidRPr="003B133E">
        <w:t>submission</w:t>
      </w:r>
      <w:r w:rsidR="005108D5" w:rsidRPr="003B133E">
        <w:t xml:space="preserve"> issues and responses</w:t>
      </w:r>
      <w:r w:rsidR="00C92E74" w:rsidRPr="003B133E">
        <w:t xml:space="preserve"> address</w:t>
      </w:r>
      <w:r w:rsidR="00321F40" w:rsidRPr="003B133E">
        <w:t xml:space="preserve"> </w:t>
      </w:r>
      <w:r w:rsidR="005108D5" w:rsidRPr="003B133E">
        <w:t>Major K</w:t>
      </w:r>
      <w:r w:rsidR="00321F40" w:rsidRPr="003B133E">
        <w:t xml:space="preserve"> and </w:t>
      </w:r>
      <w:r w:rsidR="005108D5" w:rsidRPr="003B133E">
        <w:rPr>
          <w:i/>
          <w:iCs/>
        </w:rPr>
        <w:t>Our Productive City: Brisbane’s Industrial Future</w:t>
      </w:r>
      <w:r w:rsidR="005A2034" w:rsidRPr="003B133E">
        <w:t>,</w:t>
      </w:r>
      <w:r w:rsidR="00710CB7" w:rsidRPr="003B133E">
        <w:t xml:space="preserve"> as the Brisbane </w:t>
      </w:r>
      <w:r w:rsidR="00291F9A" w:rsidRPr="003B133E">
        <w:t>Industrial Strategy Review (BISR)</w:t>
      </w:r>
      <w:r w:rsidR="005F5A88" w:rsidRPr="003B133E">
        <w:t>.</w:t>
      </w:r>
    </w:p>
    <w:p w14:paraId="6F43D3C5" w14:textId="18201F36" w:rsidR="001164A3" w:rsidRDefault="001164A3" w:rsidP="002D0222">
      <w:pPr>
        <w:spacing w:after="0"/>
      </w:pPr>
    </w:p>
    <w:tbl>
      <w:tblPr>
        <w:tblW w:w="14459" w:type="dxa"/>
        <w:tblInd w:w="-5" w:type="dxa"/>
        <w:tblLook w:val="04E0" w:firstRow="1" w:lastRow="1" w:firstColumn="1" w:lastColumn="0" w:noHBand="0" w:noVBand="1"/>
      </w:tblPr>
      <w:tblGrid>
        <w:gridCol w:w="1667"/>
        <w:gridCol w:w="5669"/>
        <w:gridCol w:w="5564"/>
        <w:gridCol w:w="1559"/>
      </w:tblGrid>
      <w:tr w:rsidR="00EA467E" w:rsidRPr="00651DF1" w14:paraId="6C20AFE9" w14:textId="77777777" w:rsidTr="001164A3">
        <w:trPr>
          <w:trHeight w:val="72"/>
          <w:tblHeader/>
        </w:trPr>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DC5A0A2" w14:textId="77777777" w:rsidR="00EA467E" w:rsidRPr="00EA467E" w:rsidRDefault="00EA467E" w:rsidP="002D0222">
            <w:pPr>
              <w:pStyle w:val="SubmissionTableHeadingBold"/>
              <w:spacing w:before="0" w:after="0"/>
              <w:rPr>
                <w:rFonts w:cs="Arial"/>
                <w:sz w:val="20"/>
                <w:lang w:val="en-AU"/>
              </w:rPr>
            </w:pPr>
            <w:r w:rsidRPr="00EA467E">
              <w:rPr>
                <w:rFonts w:cs="Arial"/>
                <w:sz w:val="20"/>
                <w:lang w:val="en-AU"/>
              </w:rPr>
              <w:t>Submission Reference</w:t>
            </w:r>
          </w:p>
        </w:tc>
        <w:tc>
          <w:tcPr>
            <w:tcW w:w="5669" w:type="dxa"/>
            <w:tcBorders>
              <w:top w:val="single" w:sz="4" w:space="0" w:color="auto"/>
              <w:left w:val="nil"/>
              <w:bottom w:val="single" w:sz="4" w:space="0" w:color="auto"/>
              <w:right w:val="single" w:sz="4" w:space="0" w:color="auto"/>
            </w:tcBorders>
            <w:shd w:val="clear" w:color="auto" w:fill="D9D9D9" w:themeFill="background1" w:themeFillShade="D9"/>
          </w:tcPr>
          <w:p w14:paraId="51B0693A" w14:textId="77777777" w:rsidR="00EA467E" w:rsidRPr="00EA467E" w:rsidRDefault="00EA467E" w:rsidP="002D0222">
            <w:pPr>
              <w:pStyle w:val="SubmissionTableHeadingBold"/>
              <w:spacing w:before="0" w:after="0"/>
              <w:rPr>
                <w:rFonts w:cs="Arial"/>
                <w:sz w:val="20"/>
                <w:lang w:val="en-AU"/>
              </w:rPr>
            </w:pPr>
            <w:r w:rsidRPr="00EA467E">
              <w:rPr>
                <w:rFonts w:cs="Arial"/>
                <w:sz w:val="20"/>
                <w:lang w:val="en-AU"/>
              </w:rPr>
              <w:t>Submission Summary</w:t>
            </w:r>
          </w:p>
        </w:tc>
        <w:tc>
          <w:tcPr>
            <w:tcW w:w="5564" w:type="dxa"/>
            <w:tcBorders>
              <w:top w:val="single" w:sz="4" w:space="0" w:color="auto"/>
              <w:left w:val="nil"/>
              <w:bottom w:val="single" w:sz="4" w:space="0" w:color="auto"/>
              <w:right w:val="single" w:sz="4" w:space="0" w:color="auto"/>
            </w:tcBorders>
            <w:shd w:val="clear" w:color="auto" w:fill="D9D9D9" w:themeFill="background1" w:themeFillShade="D9"/>
          </w:tcPr>
          <w:p w14:paraId="77C1C064" w14:textId="77777777" w:rsidR="00EA467E" w:rsidRPr="00EA467E" w:rsidRDefault="00EA467E" w:rsidP="002D0222">
            <w:pPr>
              <w:pStyle w:val="SubmissionTableHeadingBold"/>
              <w:spacing w:before="0" w:after="0"/>
              <w:rPr>
                <w:rFonts w:cs="Arial"/>
                <w:sz w:val="20"/>
                <w:lang w:val="en-AU"/>
              </w:rPr>
            </w:pPr>
            <w:r w:rsidRPr="00EA467E">
              <w:rPr>
                <w:rFonts w:cs="Arial"/>
                <w:sz w:val="20"/>
                <w:lang w:val="en-AU"/>
              </w:rPr>
              <w:t>Response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5EFEB2DD" w14:textId="77777777" w:rsidR="00EA467E" w:rsidRPr="00EA467E" w:rsidRDefault="00EA467E" w:rsidP="002C7AC2">
            <w:pPr>
              <w:pStyle w:val="SubmissionTableHeadingBold"/>
              <w:spacing w:before="0" w:after="0"/>
              <w:rPr>
                <w:rFonts w:cs="Arial"/>
                <w:sz w:val="20"/>
                <w:lang w:val="en-AU"/>
              </w:rPr>
            </w:pPr>
            <w:r w:rsidRPr="00EA467E">
              <w:rPr>
                <w:rFonts w:cs="Arial"/>
                <w:sz w:val="20"/>
                <w:lang w:val="en-AU"/>
              </w:rPr>
              <w:t>Change required</w:t>
            </w:r>
          </w:p>
        </w:tc>
      </w:tr>
      <w:tr w:rsidR="00CA1E45" w:rsidRPr="00651DF1" w14:paraId="7F95E8D4" w14:textId="77777777" w:rsidTr="003239EB">
        <w:trPr>
          <w:trHeight w:val="506"/>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5EAA2C40" w14:textId="3889D072" w:rsidR="00B55B6D" w:rsidRDefault="00DD740E" w:rsidP="002D0222">
            <w:pPr>
              <w:pStyle w:val="SubmissionTable"/>
              <w:spacing w:before="0" w:after="0"/>
              <w:rPr>
                <w:sz w:val="20"/>
              </w:rPr>
            </w:pPr>
            <w:r w:rsidRPr="002E6FDA">
              <w:rPr>
                <w:sz w:val="20"/>
              </w:rPr>
              <w:t>MK-015</w:t>
            </w:r>
          </w:p>
          <w:p w14:paraId="11DF13FA" w14:textId="361B55FB" w:rsidR="00B55B6D" w:rsidRDefault="00FE7847" w:rsidP="002D0222">
            <w:pPr>
              <w:pStyle w:val="SubmissionTable"/>
              <w:spacing w:before="0" w:after="0"/>
              <w:rPr>
                <w:sz w:val="20"/>
              </w:rPr>
            </w:pPr>
            <w:r w:rsidRPr="002E6FDA">
              <w:rPr>
                <w:sz w:val="20"/>
              </w:rPr>
              <w:t>MK-031</w:t>
            </w:r>
          </w:p>
          <w:p w14:paraId="576C433E" w14:textId="0C2D07E9" w:rsidR="00B55B6D" w:rsidRDefault="008E69D4" w:rsidP="002D0222">
            <w:pPr>
              <w:pStyle w:val="SubmissionTable"/>
              <w:spacing w:before="0" w:after="0"/>
              <w:rPr>
                <w:sz w:val="20"/>
              </w:rPr>
            </w:pPr>
            <w:r w:rsidRPr="002E6FDA">
              <w:rPr>
                <w:sz w:val="20"/>
              </w:rPr>
              <w:t>MK-032</w:t>
            </w:r>
          </w:p>
          <w:p w14:paraId="4B2622C0" w14:textId="13295E01" w:rsidR="00B55B6D" w:rsidRDefault="002C403D" w:rsidP="002D0222">
            <w:pPr>
              <w:pStyle w:val="SubmissionTable"/>
              <w:spacing w:before="0" w:after="0"/>
              <w:rPr>
                <w:sz w:val="20"/>
              </w:rPr>
            </w:pPr>
            <w:r w:rsidRPr="002E6FDA">
              <w:rPr>
                <w:sz w:val="20"/>
              </w:rPr>
              <w:t>MK-035</w:t>
            </w:r>
          </w:p>
          <w:p w14:paraId="2A9C81E9" w14:textId="12FF3DF7" w:rsidR="00B55B6D" w:rsidRDefault="00CA1E45" w:rsidP="002D0222">
            <w:pPr>
              <w:pStyle w:val="SubmissionTable"/>
              <w:spacing w:before="0" w:after="0"/>
              <w:rPr>
                <w:sz w:val="20"/>
              </w:rPr>
            </w:pPr>
            <w:r w:rsidRPr="002E6FDA">
              <w:rPr>
                <w:sz w:val="20"/>
              </w:rPr>
              <w:t>MK-036</w:t>
            </w:r>
          </w:p>
          <w:p w14:paraId="51202A2F" w14:textId="3B539C34" w:rsidR="00B55B6D" w:rsidRDefault="00433742" w:rsidP="002D0222">
            <w:pPr>
              <w:pStyle w:val="SubmissionTable"/>
              <w:spacing w:before="0" w:after="0"/>
              <w:rPr>
                <w:sz w:val="20"/>
              </w:rPr>
            </w:pPr>
            <w:r w:rsidRPr="002E6FDA">
              <w:rPr>
                <w:sz w:val="20"/>
              </w:rPr>
              <w:t>MK-040</w:t>
            </w:r>
          </w:p>
          <w:p w14:paraId="2E9598E3" w14:textId="119C39CE" w:rsidR="00B55B6D" w:rsidRDefault="00CA1E45" w:rsidP="002D0222">
            <w:pPr>
              <w:pStyle w:val="SubmissionTable"/>
              <w:spacing w:before="0" w:after="0"/>
              <w:rPr>
                <w:sz w:val="20"/>
              </w:rPr>
            </w:pPr>
            <w:r w:rsidRPr="002E6FDA">
              <w:rPr>
                <w:sz w:val="20"/>
              </w:rPr>
              <w:t>MK-042</w:t>
            </w:r>
          </w:p>
          <w:p w14:paraId="5847737A" w14:textId="61EF5E82" w:rsidR="00B55B6D" w:rsidRDefault="00CA1E45" w:rsidP="002D0222">
            <w:pPr>
              <w:pStyle w:val="SubmissionTable"/>
              <w:spacing w:before="0" w:after="0"/>
              <w:rPr>
                <w:sz w:val="20"/>
              </w:rPr>
            </w:pPr>
            <w:r w:rsidRPr="002E6FDA">
              <w:rPr>
                <w:sz w:val="20"/>
              </w:rPr>
              <w:t>MK-044</w:t>
            </w:r>
            <w:r w:rsidR="003E55A4" w:rsidRPr="002E6FDA">
              <w:rPr>
                <w:sz w:val="20"/>
              </w:rPr>
              <w:t xml:space="preserve"> </w:t>
            </w:r>
          </w:p>
          <w:p w14:paraId="3D095F80" w14:textId="3C16F87C" w:rsidR="00CA1E45" w:rsidRPr="002E6FDA" w:rsidRDefault="003E55A4" w:rsidP="002D0222">
            <w:pPr>
              <w:pStyle w:val="SubmissionTable"/>
              <w:spacing w:before="0" w:after="0"/>
              <w:rPr>
                <w:rFonts w:cs="Arial"/>
                <w:sz w:val="20"/>
                <w:lang w:val="en-AU"/>
              </w:rPr>
            </w:pPr>
            <w:r w:rsidRPr="002E6FDA">
              <w:rPr>
                <w:sz w:val="20"/>
              </w:rPr>
              <w:t>MK-048</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0AA05841" w14:textId="32AD04E4" w:rsidR="00B01AA8" w:rsidRDefault="00B55B6D" w:rsidP="002D0222">
            <w:pPr>
              <w:spacing w:after="0"/>
            </w:pPr>
            <w:r>
              <w:t>The s</w:t>
            </w:r>
            <w:r w:rsidR="00CA1E45">
              <w:t xml:space="preserve">ubmitters </w:t>
            </w:r>
            <w:r w:rsidR="006842B2">
              <w:t>oppose</w:t>
            </w:r>
            <w:r w:rsidR="00CA1E45">
              <w:t xml:space="preserve"> the </w:t>
            </w:r>
            <w:r w:rsidR="00300E90">
              <w:t xml:space="preserve">proposed </w:t>
            </w:r>
            <w:r w:rsidR="00CA1E45">
              <w:t>amendment</w:t>
            </w:r>
            <w:r w:rsidR="005C26CF">
              <w:t xml:space="preserve"> due to it </w:t>
            </w:r>
            <w:r w:rsidR="00433742">
              <w:t>not aligning</w:t>
            </w:r>
            <w:r w:rsidR="00CA1E45">
              <w:t xml:space="preserve"> with the draft Brisbane Industrial Strategy Review</w:t>
            </w:r>
            <w:r w:rsidR="00256F27">
              <w:t>,</w:t>
            </w:r>
            <w:r w:rsidR="00274ACC">
              <w:t xml:space="preserve"> </w:t>
            </w:r>
            <w:r w:rsidR="00A6406E">
              <w:t xml:space="preserve">and </w:t>
            </w:r>
            <w:r w:rsidR="00274ACC">
              <w:t>for the following reasons</w:t>
            </w:r>
            <w:r w:rsidR="004419FE">
              <w:t>.</w:t>
            </w:r>
          </w:p>
          <w:p w14:paraId="35E29B18" w14:textId="38EF3BDB" w:rsidR="004238A6" w:rsidRPr="00274ACC" w:rsidRDefault="00BD6CB0" w:rsidP="002D0222">
            <w:pPr>
              <w:pStyle w:val="ListParagraph"/>
              <w:numPr>
                <w:ilvl w:val="0"/>
                <w:numId w:val="12"/>
              </w:numPr>
              <w:spacing w:after="0"/>
            </w:pPr>
            <w:r>
              <w:t>The</w:t>
            </w:r>
            <w:r w:rsidR="00992340" w:rsidRPr="00274ACC">
              <w:t xml:space="preserve"> amendment allows for industry uses only, whereas</w:t>
            </w:r>
            <w:r w:rsidR="00BD2783">
              <w:t xml:space="preserve"> the</w:t>
            </w:r>
            <w:r w:rsidR="00992340" w:rsidRPr="00274ACC">
              <w:t xml:space="preserve"> BISR allows for a combination of industry, residential and commercial uses within the same or separate buildings. </w:t>
            </w:r>
          </w:p>
          <w:p w14:paraId="496700D4" w14:textId="16DA7500" w:rsidR="004238A6" w:rsidRPr="00274ACC" w:rsidRDefault="008D66C4" w:rsidP="002D0222">
            <w:pPr>
              <w:pStyle w:val="ListParagraph"/>
              <w:numPr>
                <w:ilvl w:val="0"/>
                <w:numId w:val="12"/>
              </w:numPr>
              <w:spacing w:after="0"/>
            </w:pPr>
            <w:r>
              <w:t>T</w:t>
            </w:r>
            <w:r w:rsidR="00992340" w:rsidRPr="00274ACC">
              <w:t>he form and scale of development is different, with small warehouse</w:t>
            </w:r>
            <w:r w:rsidR="006F3F07">
              <w:t>-</w:t>
            </w:r>
            <w:r w:rsidR="00992340" w:rsidRPr="00274ACC">
              <w:t>style boxes of 15</w:t>
            </w:r>
            <w:r w:rsidR="00D70FD7">
              <w:t> </w:t>
            </w:r>
            <w:r w:rsidR="00992340" w:rsidRPr="00274ACC">
              <w:t xml:space="preserve">m </w:t>
            </w:r>
            <w:r w:rsidR="004238A6" w:rsidRPr="00274ACC">
              <w:t>maximum</w:t>
            </w:r>
            <w:r w:rsidR="00992340" w:rsidRPr="00274ACC">
              <w:t xml:space="preserve"> height allowed under the amendment, and large </w:t>
            </w:r>
            <w:r w:rsidR="004238A6" w:rsidRPr="00274ACC">
              <w:t>integrated</w:t>
            </w:r>
            <w:r w:rsidR="00992340" w:rsidRPr="00274ACC">
              <w:t xml:space="preserve"> tower format allowed under BISR.</w:t>
            </w:r>
          </w:p>
          <w:p w14:paraId="6CFF7374" w14:textId="334F0AA6" w:rsidR="001164A3" w:rsidRPr="00274ACC" w:rsidRDefault="008D66C4" w:rsidP="001164A3">
            <w:pPr>
              <w:pStyle w:val="ListParagraph"/>
              <w:numPr>
                <w:ilvl w:val="0"/>
                <w:numId w:val="12"/>
              </w:numPr>
              <w:spacing w:after="0"/>
            </w:pPr>
            <w:r>
              <w:lastRenderedPageBreak/>
              <w:t>O</w:t>
            </w:r>
            <w:r w:rsidR="00992340" w:rsidRPr="00274ACC">
              <w:t xml:space="preserve">perating hours are </w:t>
            </w:r>
            <w:r w:rsidR="004238A6" w:rsidRPr="00274ACC">
              <w:t>restricted</w:t>
            </w:r>
            <w:r w:rsidR="00992340" w:rsidRPr="00274ACC">
              <w:t xml:space="preserve"> to 7am to 7pm, </w:t>
            </w:r>
            <w:r w:rsidR="004238A6" w:rsidRPr="00274ACC">
              <w:t>Monday</w:t>
            </w:r>
            <w:r w:rsidR="00992340" w:rsidRPr="00274ACC">
              <w:t xml:space="preserve"> to Saturday</w:t>
            </w:r>
            <w:r w:rsidR="00895E8F">
              <w:t>,</w:t>
            </w:r>
            <w:r w:rsidR="00992340" w:rsidRPr="00274ACC">
              <w:t xml:space="preserve"> in the amendment, versus 24-hour operations under the BISR.</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4800F52E" w14:textId="546A8AD1" w:rsidR="00FE676A" w:rsidRDefault="00FE676A" w:rsidP="002D0222">
            <w:pPr>
              <w:pStyle w:val="SubmissionTable"/>
              <w:spacing w:before="0" w:after="0"/>
              <w:jc w:val="both"/>
              <w:rPr>
                <w:rFonts w:cs="Arial"/>
                <w:sz w:val="20"/>
                <w:lang w:val="en-AU"/>
              </w:rPr>
            </w:pPr>
            <w:r>
              <w:rPr>
                <w:rFonts w:cs="Arial"/>
                <w:sz w:val="20"/>
                <w:lang w:val="en-AU"/>
              </w:rPr>
              <w:lastRenderedPageBreak/>
              <w:t>The proposed amendment is a stepped change in response to the B</w:t>
            </w:r>
            <w:r w:rsidR="005108D5">
              <w:rPr>
                <w:rFonts w:cs="Arial"/>
                <w:sz w:val="20"/>
                <w:lang w:val="en-AU"/>
              </w:rPr>
              <w:t xml:space="preserve">risbane </w:t>
            </w:r>
            <w:r>
              <w:rPr>
                <w:rFonts w:cs="Arial"/>
                <w:sz w:val="20"/>
                <w:lang w:val="en-AU"/>
              </w:rPr>
              <w:t>I</w:t>
            </w:r>
            <w:r w:rsidR="005108D5">
              <w:rPr>
                <w:rFonts w:cs="Arial"/>
                <w:sz w:val="20"/>
                <w:lang w:val="en-AU"/>
              </w:rPr>
              <w:t xml:space="preserve">ndustrial </w:t>
            </w:r>
            <w:r>
              <w:rPr>
                <w:rFonts w:cs="Arial"/>
                <w:sz w:val="20"/>
                <w:lang w:val="en-AU"/>
              </w:rPr>
              <w:t>S</w:t>
            </w:r>
            <w:r w:rsidR="005108D5">
              <w:rPr>
                <w:rFonts w:cs="Arial"/>
                <w:sz w:val="20"/>
                <w:lang w:val="en-AU"/>
              </w:rPr>
              <w:t>trategy</w:t>
            </w:r>
            <w:r>
              <w:rPr>
                <w:rFonts w:cs="Arial"/>
                <w:sz w:val="20"/>
                <w:lang w:val="en-AU"/>
              </w:rPr>
              <w:t xml:space="preserve"> 2019 action items.</w:t>
            </w:r>
          </w:p>
          <w:p w14:paraId="156D0253" w14:textId="77777777" w:rsidR="00FE676A" w:rsidRDefault="00FE676A" w:rsidP="002D0222">
            <w:pPr>
              <w:pStyle w:val="SubmissionTable"/>
              <w:spacing w:before="0" w:after="0"/>
              <w:jc w:val="both"/>
              <w:rPr>
                <w:rFonts w:cs="Arial"/>
                <w:sz w:val="20"/>
                <w:lang w:val="en-AU"/>
              </w:rPr>
            </w:pPr>
          </w:p>
          <w:p w14:paraId="37AACAD2" w14:textId="730E1281" w:rsidR="00CA1E45" w:rsidRDefault="000504EF" w:rsidP="002D0222">
            <w:pPr>
              <w:pStyle w:val="SubmissionTable"/>
              <w:spacing w:before="0" w:after="0"/>
              <w:jc w:val="both"/>
              <w:rPr>
                <w:rFonts w:cs="Arial"/>
                <w:sz w:val="20"/>
                <w:lang w:val="en-AU"/>
              </w:rPr>
            </w:pPr>
            <w:r>
              <w:rPr>
                <w:rFonts w:cs="Arial"/>
                <w:sz w:val="20"/>
                <w:lang w:val="en-AU"/>
              </w:rPr>
              <w:t>The</w:t>
            </w:r>
            <w:r w:rsidR="0070396B">
              <w:rPr>
                <w:rFonts w:cs="Arial"/>
                <w:sz w:val="20"/>
                <w:lang w:val="en-AU"/>
              </w:rPr>
              <w:t xml:space="preserve"> draft </w:t>
            </w:r>
            <w:r w:rsidR="0070396B" w:rsidRPr="00A71804">
              <w:rPr>
                <w:rFonts w:cs="Arial"/>
                <w:i/>
                <w:iCs/>
                <w:sz w:val="20"/>
                <w:lang w:val="en-AU"/>
              </w:rPr>
              <w:t>Our Productive City: Brisbane’s Industrial Future</w:t>
            </w:r>
            <w:r w:rsidR="0070396B">
              <w:rPr>
                <w:rFonts w:cs="Arial"/>
                <w:i/>
                <w:iCs/>
                <w:sz w:val="20"/>
                <w:lang w:val="en-AU"/>
              </w:rPr>
              <w:t xml:space="preserve"> </w:t>
            </w:r>
            <w:r>
              <w:rPr>
                <w:rFonts w:cs="Arial"/>
                <w:sz w:val="20"/>
                <w:lang w:val="en-AU"/>
              </w:rPr>
              <w:t>was released for consultation from 21</w:t>
            </w:r>
            <w:r w:rsidR="00895E8F">
              <w:rPr>
                <w:rFonts w:cs="Arial"/>
                <w:sz w:val="20"/>
                <w:lang w:val="en-AU"/>
              </w:rPr>
              <w:t> </w:t>
            </w:r>
            <w:r>
              <w:rPr>
                <w:rFonts w:cs="Arial"/>
                <w:sz w:val="20"/>
                <w:lang w:val="en-AU"/>
              </w:rPr>
              <w:t>June</w:t>
            </w:r>
            <w:r w:rsidR="00895E8F">
              <w:rPr>
                <w:rFonts w:cs="Arial"/>
                <w:sz w:val="20"/>
                <w:lang w:val="en-AU"/>
              </w:rPr>
              <w:t> 2021</w:t>
            </w:r>
            <w:r>
              <w:rPr>
                <w:rFonts w:cs="Arial"/>
                <w:sz w:val="20"/>
                <w:lang w:val="en-AU"/>
              </w:rPr>
              <w:t xml:space="preserve"> to 23</w:t>
            </w:r>
            <w:r w:rsidR="00895E8F">
              <w:rPr>
                <w:rFonts w:cs="Arial"/>
                <w:sz w:val="20"/>
                <w:lang w:val="en-AU"/>
              </w:rPr>
              <w:t> </w:t>
            </w:r>
            <w:r>
              <w:rPr>
                <w:rFonts w:cs="Arial"/>
                <w:sz w:val="20"/>
                <w:lang w:val="en-AU"/>
              </w:rPr>
              <w:t>August</w:t>
            </w:r>
            <w:r w:rsidR="00895E8F">
              <w:rPr>
                <w:rFonts w:cs="Arial"/>
                <w:sz w:val="20"/>
                <w:lang w:val="en-AU"/>
              </w:rPr>
              <w:t> </w:t>
            </w:r>
            <w:r>
              <w:rPr>
                <w:rFonts w:cs="Arial"/>
                <w:sz w:val="20"/>
                <w:lang w:val="en-AU"/>
              </w:rPr>
              <w:t>2021</w:t>
            </w:r>
            <w:r w:rsidR="00FE676A">
              <w:rPr>
                <w:rFonts w:cs="Arial"/>
                <w:sz w:val="20"/>
                <w:lang w:val="en-AU"/>
              </w:rPr>
              <w:t>.</w:t>
            </w:r>
          </w:p>
          <w:p w14:paraId="0E89DF12" w14:textId="77777777" w:rsidR="00FE676A" w:rsidRDefault="00FE676A" w:rsidP="002D0222">
            <w:pPr>
              <w:pStyle w:val="SubmissionTable"/>
              <w:spacing w:before="0" w:after="0"/>
              <w:jc w:val="both"/>
              <w:rPr>
                <w:rFonts w:cs="Arial"/>
                <w:sz w:val="20"/>
                <w:lang w:val="en-AU"/>
              </w:rPr>
            </w:pPr>
          </w:p>
          <w:p w14:paraId="7C8EEBEF" w14:textId="72E8E3E5" w:rsidR="0070396B" w:rsidRDefault="00FE676A" w:rsidP="002D0222">
            <w:pPr>
              <w:pStyle w:val="SubmissionTable"/>
              <w:spacing w:before="0" w:after="0"/>
              <w:jc w:val="both"/>
              <w:rPr>
                <w:rFonts w:cs="Arial"/>
                <w:sz w:val="20"/>
                <w:lang w:val="en-AU"/>
              </w:rPr>
            </w:pPr>
            <w:r>
              <w:rPr>
                <w:rFonts w:cs="Arial"/>
                <w:sz w:val="20"/>
                <w:lang w:val="en-AU"/>
              </w:rPr>
              <w:t xml:space="preserve">Following </w:t>
            </w:r>
            <w:r w:rsidR="005108D5">
              <w:rPr>
                <w:rFonts w:cs="Arial"/>
                <w:sz w:val="20"/>
                <w:lang w:val="en-AU"/>
              </w:rPr>
              <w:t>the</w:t>
            </w:r>
            <w:r>
              <w:rPr>
                <w:rFonts w:cs="Arial"/>
                <w:sz w:val="20"/>
                <w:lang w:val="en-AU"/>
              </w:rPr>
              <w:t xml:space="preserve"> review of feedback from the community and stakeholders, </w:t>
            </w:r>
            <w:r w:rsidR="005108D5" w:rsidRPr="00913B97">
              <w:rPr>
                <w:rFonts w:cs="Arial"/>
                <w:i/>
                <w:iCs/>
                <w:sz w:val="20"/>
                <w:lang w:val="en-AU"/>
              </w:rPr>
              <w:t>Our Productive City: Brisbane’s Industrial Future</w:t>
            </w:r>
            <w:r w:rsidR="0070396B">
              <w:rPr>
                <w:rFonts w:cs="Arial"/>
                <w:i/>
                <w:iCs/>
                <w:sz w:val="20"/>
                <w:lang w:val="en-AU"/>
              </w:rPr>
              <w:t xml:space="preserve"> </w:t>
            </w:r>
            <w:r w:rsidR="0070396B">
              <w:rPr>
                <w:rFonts w:cs="Arial"/>
                <w:sz w:val="20"/>
                <w:lang w:val="en-AU"/>
              </w:rPr>
              <w:t xml:space="preserve">will be finalised to include recommendations and an implementation program that may include further </w:t>
            </w:r>
            <w:r w:rsidR="0070396B">
              <w:rPr>
                <w:rFonts w:cs="Arial"/>
                <w:sz w:val="20"/>
                <w:lang w:val="en-AU"/>
              </w:rPr>
              <w:lastRenderedPageBreak/>
              <w:t>amendments to City Plan addressing the flexibility of uses and built form in industry areas</w:t>
            </w:r>
            <w:r>
              <w:rPr>
                <w:rFonts w:cs="Arial"/>
                <w:sz w:val="20"/>
                <w:lang w:val="en-AU"/>
              </w:rPr>
              <w:t xml:space="preserve">. </w:t>
            </w:r>
          </w:p>
          <w:p w14:paraId="0FB089D2" w14:textId="77777777" w:rsidR="00C06E96" w:rsidRDefault="00C06E96" w:rsidP="002D0222">
            <w:pPr>
              <w:pStyle w:val="SubmissionTable"/>
              <w:spacing w:before="0" w:after="0"/>
              <w:jc w:val="both"/>
              <w:rPr>
                <w:rFonts w:cs="Arial"/>
                <w:sz w:val="20"/>
                <w:lang w:val="en-AU"/>
              </w:rPr>
            </w:pPr>
          </w:p>
          <w:p w14:paraId="1EFD1FC1" w14:textId="22C0E6B0" w:rsidR="00C06E96" w:rsidRPr="00913B97" w:rsidRDefault="00C06E96" w:rsidP="002D0222">
            <w:pPr>
              <w:pStyle w:val="SubmissionTable"/>
              <w:spacing w:before="0" w:after="0"/>
              <w:jc w:val="both"/>
              <w:rPr>
                <w:sz w:val="20"/>
                <w:szCs w:val="22"/>
              </w:rPr>
            </w:pPr>
            <w:r w:rsidRPr="000433F3">
              <w:rPr>
                <w:sz w:val="20"/>
                <w:szCs w:val="22"/>
              </w:rPr>
              <w:t>The</w:t>
            </w:r>
            <w:r w:rsidR="00B55B6D">
              <w:rPr>
                <w:sz w:val="20"/>
                <w:szCs w:val="22"/>
              </w:rPr>
              <w:t>se</w:t>
            </w:r>
            <w:r w:rsidRPr="000433F3">
              <w:rPr>
                <w:sz w:val="20"/>
                <w:szCs w:val="22"/>
              </w:rPr>
              <w:t xml:space="preserve"> submission</w:t>
            </w:r>
            <w:r w:rsidR="00B55B6D">
              <w:rPr>
                <w:sz w:val="20"/>
                <w:szCs w:val="22"/>
              </w:rPr>
              <w:t>s</w:t>
            </w:r>
            <w:r w:rsidRPr="000433F3">
              <w:rPr>
                <w:sz w:val="20"/>
                <w:szCs w:val="22"/>
              </w:rPr>
              <w:t xml:space="preserve"> ha</w:t>
            </w:r>
            <w:r w:rsidR="00B55B6D">
              <w:rPr>
                <w:sz w:val="20"/>
                <w:szCs w:val="22"/>
              </w:rPr>
              <w:t>ve</w:t>
            </w:r>
            <w:r w:rsidRPr="000433F3">
              <w:rPr>
                <w:sz w:val="20"/>
                <w:szCs w:val="22"/>
              </w:rPr>
              <w:t xml:space="preserve"> been forwarded for review as part of the </w:t>
            </w:r>
            <w:r w:rsidRPr="000433F3">
              <w:rPr>
                <w:i/>
                <w:iCs/>
                <w:sz w:val="20"/>
                <w:szCs w:val="22"/>
              </w:rPr>
              <w:t xml:space="preserve">Our Productive City: Brisbane’s Industrial Future </w:t>
            </w:r>
            <w:r w:rsidRPr="000433F3">
              <w:rPr>
                <w:sz w:val="20"/>
                <w:szCs w:val="22"/>
              </w:rPr>
              <w:t>implementation process.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B7F744" w14:textId="035F455D" w:rsidR="00CA1E45" w:rsidRPr="008D1A35" w:rsidRDefault="002228CE" w:rsidP="00A33A67">
            <w:pPr>
              <w:pStyle w:val="SubmissionTable"/>
              <w:spacing w:before="0" w:after="0"/>
              <w:rPr>
                <w:rFonts w:cs="Arial"/>
                <w:sz w:val="20"/>
                <w:lang w:val="en-AU"/>
              </w:rPr>
            </w:pPr>
            <w:r w:rsidRPr="008D1A35">
              <w:rPr>
                <w:rFonts w:cs="Arial"/>
                <w:sz w:val="20"/>
                <w:lang w:val="en-AU"/>
              </w:rPr>
              <w:lastRenderedPageBreak/>
              <w:t>No change</w:t>
            </w:r>
          </w:p>
        </w:tc>
      </w:tr>
      <w:tr w:rsidR="008C1B96" w:rsidRPr="00651DF1" w14:paraId="4FCF2B27" w14:textId="77777777" w:rsidTr="001164A3">
        <w:trPr>
          <w:trHeight w:val="8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173BEE22" w14:textId="0332FC4C" w:rsidR="00B55B6D" w:rsidRDefault="008C1B96" w:rsidP="002D0222">
            <w:pPr>
              <w:pStyle w:val="SubmissionTable"/>
              <w:spacing w:before="0" w:after="0"/>
              <w:rPr>
                <w:sz w:val="20"/>
              </w:rPr>
            </w:pPr>
            <w:r w:rsidRPr="008C1B96">
              <w:rPr>
                <w:sz w:val="20"/>
              </w:rPr>
              <w:t>MK-031</w:t>
            </w:r>
          </w:p>
          <w:p w14:paraId="1BEAFBFA" w14:textId="5F9CA391" w:rsidR="008C1B96" w:rsidRPr="002E6FDA" w:rsidRDefault="008C1B96" w:rsidP="002D0222">
            <w:pPr>
              <w:pStyle w:val="SubmissionTable"/>
              <w:spacing w:before="0" w:after="0"/>
              <w:rPr>
                <w:sz w:val="20"/>
              </w:rPr>
            </w:pPr>
            <w:r w:rsidRPr="008C1B96">
              <w:rPr>
                <w:sz w:val="20"/>
              </w:rPr>
              <w:t>MK-036</w:t>
            </w:r>
          </w:p>
        </w:tc>
        <w:tc>
          <w:tcPr>
            <w:tcW w:w="5669" w:type="dxa"/>
            <w:tcBorders>
              <w:top w:val="single" w:sz="4" w:space="0" w:color="auto"/>
              <w:left w:val="single" w:sz="4" w:space="0" w:color="auto"/>
              <w:bottom w:val="single" w:sz="4" w:space="0" w:color="auto"/>
              <w:right w:val="single" w:sz="4" w:space="0" w:color="auto"/>
            </w:tcBorders>
            <w:shd w:val="clear" w:color="auto" w:fill="auto"/>
          </w:tcPr>
          <w:p w14:paraId="20D16B6E" w14:textId="6BFD473A" w:rsidR="008C1B96" w:rsidRDefault="00B55B6D" w:rsidP="002D0222">
            <w:pPr>
              <w:spacing w:after="0"/>
            </w:pPr>
            <w:r>
              <w:t>The s</w:t>
            </w:r>
            <w:r w:rsidR="008C1B96">
              <w:t>ubmitters note that t</w:t>
            </w:r>
            <w:r w:rsidR="008C1B96" w:rsidRPr="0030756E">
              <w:t>he amendment package does not offer any revisions to the current acceptable solutions for building height, which is prescribed as 15</w:t>
            </w:r>
            <w:r w:rsidR="00895E8F">
              <w:t> </w:t>
            </w:r>
            <w:r w:rsidR="008C1B96" w:rsidRPr="0030756E">
              <w:t>m. To align with the objectives of the draft industrial strategy, consideration should be given to building heights to support the renewal of these precincts in the inner-city areas.</w:t>
            </w:r>
          </w:p>
        </w:tc>
        <w:tc>
          <w:tcPr>
            <w:tcW w:w="5564" w:type="dxa"/>
            <w:tcBorders>
              <w:top w:val="single" w:sz="4" w:space="0" w:color="auto"/>
              <w:left w:val="single" w:sz="4" w:space="0" w:color="auto"/>
              <w:bottom w:val="single" w:sz="4" w:space="0" w:color="auto"/>
              <w:right w:val="single" w:sz="4" w:space="0" w:color="auto"/>
            </w:tcBorders>
            <w:shd w:val="clear" w:color="auto" w:fill="auto"/>
          </w:tcPr>
          <w:p w14:paraId="0091CAD6" w14:textId="6B7BAF11" w:rsidR="008C1B96" w:rsidRDefault="008C1B96" w:rsidP="008C1B96">
            <w:pPr>
              <w:spacing w:after="0"/>
            </w:pPr>
            <w:r>
              <w:t xml:space="preserve">Industrial building and site design provisions, including building heights, will be reviewed as part of the implementation phase of </w:t>
            </w:r>
            <w:r w:rsidRPr="001E5E62">
              <w:rPr>
                <w:i/>
                <w:iCs/>
              </w:rPr>
              <w:t>Our Productive City: Brisbane’s Industrial Future</w:t>
            </w:r>
            <w:r>
              <w:t xml:space="preserve">. </w:t>
            </w:r>
          </w:p>
          <w:p w14:paraId="741F16BB" w14:textId="77777777" w:rsidR="008C1B96" w:rsidRDefault="008C1B96" w:rsidP="008C1B96">
            <w:pPr>
              <w:spacing w:after="0"/>
            </w:pPr>
          </w:p>
          <w:p w14:paraId="1D132AFD" w14:textId="13808FAE" w:rsidR="000433F3" w:rsidRPr="005439AF" w:rsidRDefault="008C1B96" w:rsidP="008C1B96">
            <w:pPr>
              <w:pStyle w:val="SubmissionTable"/>
              <w:spacing w:before="0" w:after="0"/>
              <w:jc w:val="both"/>
              <w:rPr>
                <w:sz w:val="20"/>
                <w:szCs w:val="22"/>
              </w:rPr>
            </w:pPr>
            <w:r w:rsidRPr="000433F3">
              <w:rPr>
                <w:sz w:val="20"/>
                <w:szCs w:val="22"/>
              </w:rPr>
              <w:t>The</w:t>
            </w:r>
            <w:r w:rsidR="00B55B6D">
              <w:rPr>
                <w:sz w:val="20"/>
                <w:szCs w:val="22"/>
              </w:rPr>
              <w:t>se</w:t>
            </w:r>
            <w:r w:rsidRPr="000433F3">
              <w:rPr>
                <w:sz w:val="20"/>
                <w:szCs w:val="22"/>
              </w:rPr>
              <w:t xml:space="preserve"> submission</w:t>
            </w:r>
            <w:r w:rsidR="00B55B6D">
              <w:rPr>
                <w:sz w:val="20"/>
                <w:szCs w:val="22"/>
              </w:rPr>
              <w:t>s</w:t>
            </w:r>
            <w:r w:rsidRPr="000433F3">
              <w:rPr>
                <w:sz w:val="20"/>
                <w:szCs w:val="22"/>
              </w:rPr>
              <w:t xml:space="preserve"> ha</w:t>
            </w:r>
            <w:r w:rsidR="00B55B6D">
              <w:rPr>
                <w:sz w:val="20"/>
                <w:szCs w:val="22"/>
              </w:rPr>
              <w:t>ve</w:t>
            </w:r>
            <w:r w:rsidRPr="000433F3">
              <w:rPr>
                <w:sz w:val="20"/>
                <w:szCs w:val="22"/>
              </w:rPr>
              <w:t xml:space="preserve"> been forwarded for review as part of the </w:t>
            </w:r>
            <w:r w:rsidRPr="000433F3">
              <w:rPr>
                <w:i/>
                <w:iCs/>
                <w:sz w:val="20"/>
                <w:szCs w:val="22"/>
              </w:rPr>
              <w:t xml:space="preserve">Our Productive City: Brisbane’s Industrial Future </w:t>
            </w:r>
            <w:r w:rsidRPr="000433F3">
              <w:rPr>
                <w:sz w:val="20"/>
                <w:szCs w:val="22"/>
              </w:rPr>
              <w:t>implementation process.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64DF17" w14:textId="5D40AF86" w:rsidR="008C1B96" w:rsidRPr="008D1A35" w:rsidRDefault="002228CE" w:rsidP="00A33A67">
            <w:pPr>
              <w:pStyle w:val="SubmissionTable"/>
              <w:spacing w:before="0" w:after="0"/>
              <w:rPr>
                <w:rFonts w:cs="Arial"/>
                <w:sz w:val="20"/>
                <w:lang w:val="en-AU"/>
              </w:rPr>
            </w:pPr>
            <w:r w:rsidRPr="008D1A35">
              <w:rPr>
                <w:rFonts w:cs="Arial"/>
                <w:sz w:val="20"/>
                <w:lang w:val="en-AU"/>
              </w:rPr>
              <w:t>No change</w:t>
            </w:r>
          </w:p>
        </w:tc>
      </w:tr>
    </w:tbl>
    <w:p w14:paraId="3832D419" w14:textId="77777777" w:rsidR="008D62F6" w:rsidRPr="008D62F6" w:rsidRDefault="008D62F6" w:rsidP="002D0222">
      <w:pPr>
        <w:spacing w:after="0"/>
        <w:rPr>
          <w:lang w:val="en-AU"/>
        </w:rPr>
      </w:pPr>
    </w:p>
    <w:p w14:paraId="32EFD962" w14:textId="77777777" w:rsidR="00BD3F4B" w:rsidRDefault="00BD3F4B">
      <w:pPr>
        <w:spacing w:after="0"/>
        <w:rPr>
          <w:b/>
          <w:bCs/>
          <w:iCs/>
          <w:sz w:val="24"/>
          <w:szCs w:val="26"/>
        </w:rPr>
      </w:pPr>
      <w:r>
        <w:br w:type="page"/>
      </w:r>
    </w:p>
    <w:p w14:paraId="2D4B6BB8" w14:textId="0583F8E3" w:rsidR="00651DF1" w:rsidRDefault="003B133E" w:rsidP="00BD3F4B">
      <w:pPr>
        <w:pStyle w:val="Heading5"/>
      </w:pPr>
      <w:r>
        <w:lastRenderedPageBreak/>
        <w:t xml:space="preserve">3.3.3 </w:t>
      </w:r>
      <w:r w:rsidR="00651DF1" w:rsidRPr="00693401">
        <w:t xml:space="preserve">Industry changes – Colmslie </w:t>
      </w:r>
      <w:r w:rsidR="00EC6E1A" w:rsidRPr="00693401">
        <w:t>Road Industr</w:t>
      </w:r>
      <w:r w:rsidR="00250390">
        <w:t>y</w:t>
      </w:r>
      <w:r w:rsidR="008D62F6" w:rsidRPr="00693401">
        <w:t xml:space="preserve"> Precinct</w:t>
      </w:r>
      <w:r w:rsidR="00844477" w:rsidRPr="00693401">
        <w:t xml:space="preserve"> </w:t>
      </w:r>
    </w:p>
    <w:p w14:paraId="5A242421" w14:textId="77777777" w:rsidR="001164A3" w:rsidRDefault="001164A3" w:rsidP="004419FE">
      <w:pPr>
        <w:keepNext/>
        <w:keepLines/>
        <w:spacing w:after="0"/>
      </w:pPr>
    </w:p>
    <w:p w14:paraId="635B78AE" w14:textId="378AFDC3" w:rsidR="00700ADF" w:rsidRDefault="00CE20AE" w:rsidP="004419FE">
      <w:pPr>
        <w:keepNext/>
        <w:keepLines/>
        <w:spacing w:after="0"/>
      </w:pPr>
      <w:r>
        <w:t>The</w:t>
      </w:r>
      <w:r w:rsidR="00632694">
        <w:t xml:space="preserve"> Queensland government made Temporary Local Planning Instrument</w:t>
      </w:r>
      <w:r w:rsidR="00400F7D">
        <w:t xml:space="preserve"> </w:t>
      </w:r>
      <w:r w:rsidR="006247D1">
        <w:t>No.</w:t>
      </w:r>
      <w:r w:rsidR="00D40690">
        <w:t xml:space="preserve"> </w:t>
      </w:r>
      <w:r w:rsidR="006247D1">
        <w:t>2 of 2021 (Colmslie Road Industry Precinct</w:t>
      </w:r>
      <w:r w:rsidR="00400F7D">
        <w:t>)</w:t>
      </w:r>
      <w:r w:rsidR="005108D5">
        <w:t xml:space="preserve"> (TLPI 02/2021)</w:t>
      </w:r>
      <w:r w:rsidR="00400F7D">
        <w:t xml:space="preserve"> </w:t>
      </w:r>
      <w:r w:rsidR="005108D5">
        <w:t>which</w:t>
      </w:r>
      <w:r>
        <w:t xml:space="preserve"> </w:t>
      </w:r>
      <w:r w:rsidR="00695F40">
        <w:t xml:space="preserve">came into effect </w:t>
      </w:r>
      <w:r w:rsidR="005108D5">
        <w:t>on</w:t>
      </w:r>
      <w:r w:rsidR="00695F40">
        <w:t xml:space="preserve"> 29 June 2021</w:t>
      </w:r>
      <w:r w:rsidR="00896E61">
        <w:t>. The following submission</w:t>
      </w:r>
      <w:r w:rsidR="005108D5">
        <w:t xml:space="preserve"> issues and responses</w:t>
      </w:r>
      <w:r w:rsidR="00896E61">
        <w:t xml:space="preserve"> </w:t>
      </w:r>
      <w:r w:rsidR="00741903">
        <w:t xml:space="preserve">address the </w:t>
      </w:r>
      <w:r w:rsidR="00896E61">
        <w:t>TLPI.</w:t>
      </w:r>
    </w:p>
    <w:p w14:paraId="6A35F60F" w14:textId="2D58160C" w:rsidR="001164A3" w:rsidRDefault="001164A3" w:rsidP="004419FE">
      <w:pPr>
        <w:keepNext/>
        <w:keepLines/>
        <w:spacing w:after="0"/>
      </w:pPr>
    </w:p>
    <w:tbl>
      <w:tblPr>
        <w:tblW w:w="14459" w:type="dxa"/>
        <w:tblInd w:w="-5" w:type="dxa"/>
        <w:tblLook w:val="04E0" w:firstRow="1" w:lastRow="1" w:firstColumn="1" w:lastColumn="0" w:noHBand="0" w:noVBand="1"/>
      </w:tblPr>
      <w:tblGrid>
        <w:gridCol w:w="1667"/>
        <w:gridCol w:w="5704"/>
        <w:gridCol w:w="5529"/>
        <w:gridCol w:w="1559"/>
      </w:tblGrid>
      <w:tr w:rsidR="00EA467E" w:rsidRPr="00651DF1" w14:paraId="73889F42" w14:textId="77777777" w:rsidTr="001164A3">
        <w:trPr>
          <w:trHeight w:val="66"/>
          <w:tblHeader/>
        </w:trPr>
        <w:tc>
          <w:tcPr>
            <w:tcW w:w="16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787F538" w14:textId="77777777" w:rsidR="00EA467E" w:rsidRPr="00EA467E" w:rsidRDefault="00EA467E" w:rsidP="004419FE">
            <w:pPr>
              <w:pStyle w:val="SubmissionTableHeadingBold"/>
              <w:keepNext/>
              <w:keepLines/>
              <w:spacing w:before="0" w:after="0"/>
              <w:rPr>
                <w:rFonts w:cs="Arial"/>
                <w:sz w:val="20"/>
                <w:lang w:val="en-AU"/>
              </w:rPr>
            </w:pPr>
            <w:r w:rsidRPr="00EA467E">
              <w:rPr>
                <w:rFonts w:cs="Arial"/>
                <w:sz w:val="20"/>
                <w:lang w:val="en-AU"/>
              </w:rPr>
              <w:t>Submission Reference</w:t>
            </w:r>
          </w:p>
        </w:tc>
        <w:tc>
          <w:tcPr>
            <w:tcW w:w="5704" w:type="dxa"/>
            <w:tcBorders>
              <w:top w:val="single" w:sz="4" w:space="0" w:color="auto"/>
              <w:left w:val="nil"/>
              <w:bottom w:val="single" w:sz="4" w:space="0" w:color="auto"/>
              <w:right w:val="single" w:sz="4" w:space="0" w:color="auto"/>
            </w:tcBorders>
            <w:shd w:val="clear" w:color="auto" w:fill="D9D9D9" w:themeFill="background1" w:themeFillShade="D9"/>
          </w:tcPr>
          <w:p w14:paraId="25D72D5A" w14:textId="77777777" w:rsidR="00EA467E" w:rsidRPr="00937DDF" w:rsidRDefault="00EA467E" w:rsidP="004419FE">
            <w:pPr>
              <w:pStyle w:val="SubmissionTableHeadingBold"/>
              <w:keepNext/>
              <w:keepLines/>
              <w:spacing w:before="0" w:after="0"/>
              <w:rPr>
                <w:rFonts w:cs="Arial"/>
                <w:sz w:val="20"/>
                <w:lang w:val="en-AU"/>
              </w:rPr>
            </w:pPr>
            <w:r w:rsidRPr="00937DDF">
              <w:rPr>
                <w:rFonts w:cs="Arial"/>
                <w:sz w:val="20"/>
                <w:lang w:val="en-AU"/>
              </w:rPr>
              <w:t>Submission Summary</w:t>
            </w:r>
          </w:p>
        </w:tc>
        <w:tc>
          <w:tcPr>
            <w:tcW w:w="5529" w:type="dxa"/>
            <w:tcBorders>
              <w:top w:val="single" w:sz="4" w:space="0" w:color="auto"/>
              <w:left w:val="nil"/>
              <w:bottom w:val="single" w:sz="4" w:space="0" w:color="auto"/>
              <w:right w:val="single" w:sz="4" w:space="0" w:color="auto"/>
            </w:tcBorders>
            <w:shd w:val="clear" w:color="auto" w:fill="D9D9D9" w:themeFill="background1" w:themeFillShade="D9"/>
          </w:tcPr>
          <w:p w14:paraId="4AF39E86" w14:textId="77777777" w:rsidR="00EA467E" w:rsidRPr="00EA467E" w:rsidRDefault="00EA467E" w:rsidP="004419FE">
            <w:pPr>
              <w:pStyle w:val="SubmissionTableHeadingBold"/>
              <w:keepNext/>
              <w:keepLines/>
              <w:spacing w:before="0" w:after="0"/>
              <w:rPr>
                <w:rFonts w:cs="Arial"/>
                <w:sz w:val="20"/>
                <w:lang w:val="en-AU"/>
              </w:rPr>
            </w:pPr>
            <w:r w:rsidRPr="00EA467E">
              <w:rPr>
                <w:rFonts w:cs="Arial"/>
                <w:sz w:val="20"/>
                <w:lang w:val="en-AU"/>
              </w:rPr>
              <w:t>Response</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tcPr>
          <w:p w14:paraId="7F1569CB" w14:textId="77777777" w:rsidR="00EA467E" w:rsidRPr="00EA467E" w:rsidRDefault="00EA467E" w:rsidP="004419FE">
            <w:pPr>
              <w:pStyle w:val="SubmissionTableHeadingBold"/>
              <w:keepNext/>
              <w:keepLines/>
              <w:spacing w:before="0" w:after="0"/>
              <w:rPr>
                <w:rFonts w:cs="Arial"/>
                <w:sz w:val="20"/>
                <w:lang w:val="en-AU"/>
              </w:rPr>
            </w:pPr>
            <w:r w:rsidRPr="00EA467E">
              <w:rPr>
                <w:rFonts w:cs="Arial"/>
                <w:sz w:val="20"/>
                <w:lang w:val="en-AU"/>
              </w:rPr>
              <w:t>Change required</w:t>
            </w:r>
          </w:p>
        </w:tc>
      </w:tr>
      <w:tr w:rsidR="00CA1E45" w:rsidRPr="00651DF1" w14:paraId="6A40841D" w14:textId="77777777" w:rsidTr="001164A3">
        <w:trPr>
          <w:trHeight w:val="8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5B529365" w14:textId="4A98A5E9" w:rsidR="00CA1E45" w:rsidRPr="00EA467E" w:rsidRDefault="00CA1E45" w:rsidP="004419FE">
            <w:pPr>
              <w:pStyle w:val="SubmissionTable"/>
              <w:keepNext/>
              <w:keepLines/>
              <w:spacing w:before="0" w:after="0"/>
              <w:rPr>
                <w:rFonts w:cs="Arial"/>
                <w:sz w:val="20"/>
                <w:lang w:val="en-AU"/>
              </w:rPr>
            </w:pPr>
            <w:r>
              <w:t>MK-036</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045A18F5" w14:textId="5B57417F" w:rsidR="00860B57" w:rsidRDefault="00B55B6D" w:rsidP="004419FE">
            <w:pPr>
              <w:keepNext/>
              <w:keepLines/>
              <w:spacing w:after="0"/>
            </w:pPr>
            <w:r>
              <w:t>The s</w:t>
            </w:r>
            <w:r w:rsidR="00C10EBB">
              <w:t>ubmitter</w:t>
            </w:r>
            <w:r w:rsidR="0072706C">
              <w:t xml:space="preserve"> suggests </w:t>
            </w:r>
            <w:r w:rsidR="00895E8F">
              <w:t xml:space="preserve">that </w:t>
            </w:r>
            <w:r w:rsidR="0072706C">
              <w:t>t</w:t>
            </w:r>
            <w:r w:rsidR="00CA1E45" w:rsidRPr="00937DDF">
              <w:t>he amendment</w:t>
            </w:r>
            <w:r w:rsidR="00AA0AF8">
              <w:t xml:space="preserve"> </w:t>
            </w:r>
            <w:r w:rsidR="000013EC">
              <w:t>a</w:t>
            </w:r>
            <w:r w:rsidR="00AA0AF8">
              <w:t>pplies blanket planning policy across the city</w:t>
            </w:r>
            <w:r w:rsidR="000013EC">
              <w:t xml:space="preserve"> in response to the C</w:t>
            </w:r>
            <w:r w:rsidR="003331B4">
              <w:t xml:space="preserve">olmslie </w:t>
            </w:r>
            <w:r w:rsidR="000013EC">
              <w:t>R</w:t>
            </w:r>
            <w:r w:rsidR="003331B4">
              <w:t xml:space="preserve">oad </w:t>
            </w:r>
            <w:r w:rsidR="000013EC">
              <w:t>I</w:t>
            </w:r>
            <w:r w:rsidR="003331B4">
              <w:t xml:space="preserve">ndustrial </w:t>
            </w:r>
            <w:r w:rsidR="000013EC">
              <w:t>P</w:t>
            </w:r>
            <w:r w:rsidR="003331B4">
              <w:t>recinct</w:t>
            </w:r>
            <w:r w:rsidR="000013EC">
              <w:t xml:space="preserve"> TLPI</w:t>
            </w:r>
            <w:r w:rsidR="00AA0AF8">
              <w:t>.</w:t>
            </w:r>
          </w:p>
          <w:p w14:paraId="4B080287" w14:textId="77777777" w:rsidR="005108D5" w:rsidRDefault="005108D5" w:rsidP="004419FE">
            <w:pPr>
              <w:keepNext/>
              <w:keepLines/>
              <w:spacing w:after="0"/>
            </w:pPr>
          </w:p>
          <w:p w14:paraId="09ED839A" w14:textId="566383AF" w:rsidR="00CA1E45" w:rsidRPr="00937DDF" w:rsidRDefault="00CA1E45" w:rsidP="004419FE">
            <w:pPr>
              <w:keepNext/>
              <w:keepLines/>
              <w:spacing w:after="0"/>
              <w:rPr>
                <w:rFonts w:cs="Arial"/>
                <w:lang w:val="en-AU"/>
              </w:rPr>
            </w:pPr>
            <w:r w:rsidRPr="00937DDF">
              <w:t>If the proposed amendment is intended to apply permanently to a discrete planning area (</w:t>
            </w:r>
            <w:proofErr w:type="gramStart"/>
            <w:r w:rsidRPr="00937DDF">
              <w:t>i.e.</w:t>
            </w:r>
            <w:proofErr w:type="gramEnd"/>
            <w:r w:rsidRPr="00937DDF">
              <w:t xml:space="preserve"> Colmslie Road </w:t>
            </w:r>
            <w:r w:rsidR="000013EC">
              <w:t>i</w:t>
            </w:r>
            <w:r w:rsidRPr="00937DDF">
              <w:t>ndustrial estate), this should be reflected in the amendment rather than apply</w:t>
            </w:r>
            <w:r w:rsidR="008C1B96">
              <w:t>ing</w:t>
            </w:r>
            <w:r w:rsidRPr="00937DDF">
              <w:t xml:space="preserve"> to all Low impact industry zoned land across Brisbane, including inner</w:t>
            </w:r>
            <w:r w:rsidR="00895E8F">
              <w:t>-</w:t>
            </w:r>
            <w:r w:rsidRPr="00937DDF">
              <w:t>city locations.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5A5111A" w14:textId="274D9C7C" w:rsidR="005108D5" w:rsidRDefault="005108D5" w:rsidP="004419FE">
            <w:pPr>
              <w:keepNext/>
              <w:keepLines/>
              <w:spacing w:after="0"/>
            </w:pPr>
            <w:r>
              <w:t>Council proposed the change</w:t>
            </w:r>
            <w:r w:rsidR="00B55B6D">
              <w:t>s</w:t>
            </w:r>
            <w:r>
              <w:t xml:space="preserve"> in Major </w:t>
            </w:r>
            <w:r w:rsidR="00B55B6D">
              <w:t xml:space="preserve">amendment package </w:t>
            </w:r>
            <w:r>
              <w:t xml:space="preserve">K in November 2019. The TLPI was </w:t>
            </w:r>
            <w:r w:rsidR="00B31BF9">
              <w:t xml:space="preserve">prepared by the Queensland Government and </w:t>
            </w:r>
            <w:proofErr w:type="spellStart"/>
            <w:r w:rsidR="00B31BF9">
              <w:t>gazette</w:t>
            </w:r>
            <w:r w:rsidR="00300E90">
              <w:t>d</w:t>
            </w:r>
            <w:proofErr w:type="spellEnd"/>
            <w:r w:rsidR="00B31BF9">
              <w:t xml:space="preserve"> </w:t>
            </w:r>
            <w:r>
              <w:t xml:space="preserve">on </w:t>
            </w:r>
            <w:r w:rsidRPr="00A354AD">
              <w:t>29</w:t>
            </w:r>
            <w:r w:rsidR="00895E8F">
              <w:t> </w:t>
            </w:r>
            <w:r w:rsidRPr="00A354AD">
              <w:t>June</w:t>
            </w:r>
            <w:r w:rsidR="00895E8F">
              <w:t> </w:t>
            </w:r>
            <w:r w:rsidRPr="00A354AD">
              <w:t>2021</w:t>
            </w:r>
            <w:r>
              <w:t>.</w:t>
            </w:r>
          </w:p>
          <w:p w14:paraId="49A5878F" w14:textId="77777777" w:rsidR="005108D5" w:rsidRDefault="005108D5" w:rsidP="004419FE">
            <w:pPr>
              <w:keepNext/>
              <w:keepLines/>
              <w:spacing w:after="0"/>
            </w:pPr>
          </w:p>
          <w:p w14:paraId="70DD4BFC" w14:textId="3469B6B0" w:rsidR="00CA1E45" w:rsidRDefault="00CA1E45" w:rsidP="004419FE">
            <w:pPr>
              <w:keepNext/>
              <w:keepLines/>
              <w:spacing w:after="0"/>
            </w:pPr>
            <w:r w:rsidRPr="006C41A0">
              <w:t xml:space="preserve">The </w:t>
            </w:r>
            <w:r w:rsidR="00B31BF9">
              <w:t>Council</w:t>
            </w:r>
            <w:r w:rsidR="00895E8F">
              <w:t>-</w:t>
            </w:r>
            <w:r w:rsidRPr="006C41A0">
              <w:t xml:space="preserve">proposed </w:t>
            </w:r>
            <w:r w:rsidR="00B31BF9">
              <w:t>changes in Major</w:t>
            </w:r>
            <w:r w:rsidR="00B55B6D">
              <w:t xml:space="preserve"> amendment package</w:t>
            </w:r>
            <w:r w:rsidR="00B31BF9">
              <w:t xml:space="preserve"> K</w:t>
            </w:r>
            <w:r w:rsidRPr="006C41A0">
              <w:t xml:space="preserve"> give effect to </w:t>
            </w:r>
            <w:r w:rsidR="00B31BF9">
              <w:t>A</w:t>
            </w:r>
            <w:r>
              <w:t xml:space="preserve">ction 2 </w:t>
            </w:r>
            <w:r w:rsidRPr="006C41A0">
              <w:t xml:space="preserve">from </w:t>
            </w:r>
            <w:r w:rsidR="000013EC">
              <w:t xml:space="preserve">the </w:t>
            </w:r>
            <w:r w:rsidR="002F014C">
              <w:t>B</w:t>
            </w:r>
            <w:r w:rsidR="00B31BF9">
              <w:t xml:space="preserve">risbane </w:t>
            </w:r>
            <w:r w:rsidR="002F014C">
              <w:t>I</w:t>
            </w:r>
            <w:r w:rsidR="00B31BF9">
              <w:t xml:space="preserve">ndustrial </w:t>
            </w:r>
            <w:r w:rsidR="002F014C">
              <w:t>S</w:t>
            </w:r>
            <w:r w:rsidR="00B31BF9">
              <w:t>trategy</w:t>
            </w:r>
            <w:r w:rsidR="002F014C">
              <w:t xml:space="preserve"> 2019</w:t>
            </w:r>
            <w:r w:rsidRPr="00297A9A">
              <w:t>, to provide</w:t>
            </w:r>
            <w:r w:rsidRPr="00D4694E">
              <w:t xml:space="preserve"> for appropriate non-industrial uses that meet the specific needs of workers and enhance the function of areas where low</w:t>
            </w:r>
            <w:r w:rsidR="00EE76EB">
              <w:t xml:space="preserve"> </w:t>
            </w:r>
            <w:r w:rsidRPr="00D4694E">
              <w:t>impact industry is supported.</w:t>
            </w:r>
            <w:r>
              <w:t xml:space="preserve"> These changes are intended to apply citywide, not only to a discrete area.</w:t>
            </w:r>
          </w:p>
          <w:p w14:paraId="24898D0F" w14:textId="77777777" w:rsidR="005108D5" w:rsidRDefault="005108D5" w:rsidP="004419FE">
            <w:pPr>
              <w:keepNext/>
              <w:keepLines/>
              <w:spacing w:after="0"/>
            </w:pPr>
          </w:p>
          <w:p w14:paraId="77DE72B9" w14:textId="0DF9E9D4" w:rsidR="00F85372" w:rsidRPr="005439AF" w:rsidRDefault="00CA1E45" w:rsidP="004419FE">
            <w:pPr>
              <w:keepNext/>
              <w:keepLines/>
              <w:spacing w:after="0"/>
            </w:pPr>
            <w:r>
              <w:t xml:space="preserve">Further investigation and appropriate consultation </w:t>
            </w:r>
            <w:proofErr w:type="gramStart"/>
            <w:r>
              <w:t>is</w:t>
            </w:r>
            <w:proofErr w:type="gramEnd"/>
            <w:r>
              <w:t xml:space="preserve"> required prior to</w:t>
            </w:r>
            <w:r w:rsidR="00817FB6">
              <w:t xml:space="preserve"> </w:t>
            </w:r>
            <w:r w:rsidR="000013EC">
              <w:t xml:space="preserve">the </w:t>
            </w:r>
            <w:r w:rsidR="00B31BF9">
              <w:t>TLPI</w:t>
            </w:r>
            <w:r w:rsidR="00B31BF9" w:rsidRPr="005B0CC9">
              <w:t xml:space="preserve"> </w:t>
            </w:r>
            <w:r w:rsidR="00B31BF9">
              <w:t xml:space="preserve">being integrated </w:t>
            </w:r>
            <w:r w:rsidRPr="00854428">
              <w:t>into City Plan</w:t>
            </w: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E423DC" w14:textId="19584DAD" w:rsidR="00CA1E45" w:rsidRPr="00651DF1" w:rsidRDefault="00CA1E45" w:rsidP="004419FE">
            <w:pPr>
              <w:keepNext/>
              <w:keepLines/>
              <w:spacing w:after="0"/>
              <w:rPr>
                <w:rFonts w:cs="Arial"/>
                <w:highlight w:val="yellow"/>
                <w:lang w:val="en-AU"/>
              </w:rPr>
            </w:pPr>
            <w:r>
              <w:t>No change</w:t>
            </w:r>
          </w:p>
        </w:tc>
      </w:tr>
      <w:tr w:rsidR="004177A1" w:rsidRPr="00651DF1" w14:paraId="1761B6CD" w14:textId="77777777" w:rsidTr="005439AF">
        <w:trPr>
          <w:trHeight w:val="370"/>
        </w:trPr>
        <w:tc>
          <w:tcPr>
            <w:tcW w:w="1667" w:type="dxa"/>
            <w:tcBorders>
              <w:top w:val="single" w:sz="4" w:space="0" w:color="auto"/>
              <w:left w:val="single" w:sz="4" w:space="0" w:color="auto"/>
              <w:bottom w:val="single" w:sz="4" w:space="0" w:color="auto"/>
              <w:right w:val="single" w:sz="4" w:space="0" w:color="auto"/>
            </w:tcBorders>
            <w:shd w:val="clear" w:color="auto" w:fill="auto"/>
          </w:tcPr>
          <w:p w14:paraId="378F3260" w14:textId="4ECFEB35" w:rsidR="004177A1" w:rsidRPr="00937DDF" w:rsidRDefault="004177A1" w:rsidP="002D0222">
            <w:pPr>
              <w:pStyle w:val="SubmissionTable"/>
              <w:spacing w:before="0" w:after="0"/>
              <w:rPr>
                <w:rFonts w:cs="Arial"/>
                <w:sz w:val="20"/>
              </w:rPr>
            </w:pPr>
            <w:r w:rsidRPr="00937DDF">
              <w:rPr>
                <w:rFonts w:cs="Arial"/>
                <w:sz w:val="20"/>
              </w:rPr>
              <w:t>MK-056</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DA23463" w14:textId="66B03D3C" w:rsidR="00B52950" w:rsidRDefault="00B55B6D" w:rsidP="002D0222">
            <w:pPr>
              <w:spacing w:after="0"/>
            </w:pPr>
            <w:r>
              <w:t>The s</w:t>
            </w:r>
            <w:r w:rsidR="00D86C4D" w:rsidRPr="004B7516">
              <w:t xml:space="preserve">ubmitter supports the proposed provisions relating to </w:t>
            </w:r>
            <w:r w:rsidR="00D86C4D">
              <w:t>f</w:t>
            </w:r>
            <w:r w:rsidR="00D86C4D" w:rsidRPr="004B7516">
              <w:t xml:space="preserve">ood and drink outlet, </w:t>
            </w:r>
            <w:r w:rsidR="00D86C4D">
              <w:t>s</w:t>
            </w:r>
            <w:r w:rsidR="00D86C4D" w:rsidRPr="004B7516">
              <w:t xml:space="preserve">hop and </w:t>
            </w:r>
            <w:r w:rsidR="00EE192C">
              <w:t>i</w:t>
            </w:r>
            <w:r w:rsidR="00D86C4D" w:rsidRPr="004B7516">
              <w:t>ndoor sport and recreation</w:t>
            </w:r>
            <w:r w:rsidR="00EE76EB">
              <w:t xml:space="preserve"> uses</w:t>
            </w:r>
            <w:r w:rsidR="00D86C4D" w:rsidRPr="004B7516">
              <w:t xml:space="preserve">, and suggests </w:t>
            </w:r>
            <w:r w:rsidR="00895E8F">
              <w:t xml:space="preserve">that </w:t>
            </w:r>
            <w:r w:rsidR="00D86C4D" w:rsidRPr="004B7516">
              <w:t xml:space="preserve">additional </w:t>
            </w:r>
            <w:r w:rsidR="00D86C4D" w:rsidRPr="0070429F">
              <w:t xml:space="preserve">provisions be included for these uses to ensure consistency with the </w:t>
            </w:r>
            <w:r w:rsidR="00D86C4D">
              <w:t>C</w:t>
            </w:r>
            <w:r>
              <w:t xml:space="preserve">olmslie </w:t>
            </w:r>
            <w:r w:rsidR="00D86C4D">
              <w:t>R</w:t>
            </w:r>
            <w:r>
              <w:t xml:space="preserve">oad </w:t>
            </w:r>
            <w:r w:rsidR="00D86C4D">
              <w:t>I</w:t>
            </w:r>
            <w:r>
              <w:t xml:space="preserve">ndustrial </w:t>
            </w:r>
            <w:r w:rsidR="00D86C4D">
              <w:t>P</w:t>
            </w:r>
            <w:r>
              <w:t>recinct</w:t>
            </w:r>
            <w:r w:rsidR="00D86C4D" w:rsidRPr="0070429F">
              <w:t xml:space="preserve"> </w:t>
            </w:r>
            <w:r w:rsidR="00D86C4D">
              <w:t>TLPI</w:t>
            </w:r>
            <w:r w:rsidR="00D86C4D" w:rsidRPr="0070429F">
              <w:t>.</w:t>
            </w:r>
          </w:p>
          <w:p w14:paraId="751EA97B" w14:textId="77777777" w:rsidR="00B31BF9" w:rsidRDefault="00B31BF9" w:rsidP="002D0222">
            <w:pPr>
              <w:spacing w:after="0"/>
            </w:pPr>
          </w:p>
          <w:p w14:paraId="075079B8" w14:textId="73F0B625" w:rsidR="00D86C4D" w:rsidRPr="002F0927" w:rsidRDefault="00895E8F" w:rsidP="002D0222">
            <w:pPr>
              <w:spacing w:after="0"/>
            </w:pPr>
            <w:r>
              <w:t>The s</w:t>
            </w:r>
            <w:r w:rsidR="00B52950">
              <w:t>ubmitter s</w:t>
            </w:r>
            <w:r w:rsidR="00D86C4D" w:rsidRPr="0070429F">
              <w:t>pecifically</w:t>
            </w:r>
            <w:r w:rsidR="00D86C4D" w:rsidRPr="004B7516">
              <w:t xml:space="preserve"> recommend</w:t>
            </w:r>
            <w:r w:rsidR="00B52950">
              <w:t>s</w:t>
            </w:r>
            <w:r w:rsidR="00D86C4D" w:rsidRPr="004B7516">
              <w:t xml:space="preserve"> excluding outdoor dining/seating areas for </w:t>
            </w:r>
            <w:r w:rsidR="00D86C4D">
              <w:t>f</w:t>
            </w:r>
            <w:r w:rsidR="00D86C4D" w:rsidRPr="004B7516">
              <w:t>ood and drink outlet</w:t>
            </w:r>
            <w:r w:rsidR="00D86C4D">
              <w:t>, s</w:t>
            </w:r>
            <w:r w:rsidR="00D86C4D" w:rsidRPr="004B7516">
              <w:t>hop</w:t>
            </w:r>
            <w:r w:rsidR="00D86C4D">
              <w:t>, and i</w:t>
            </w:r>
            <w:r w:rsidR="00D86C4D" w:rsidRPr="004B7516">
              <w:t xml:space="preserve">ndoor sport and recreation uses in the </w:t>
            </w:r>
            <w:r w:rsidR="00B55B6D">
              <w:t>TLPI area</w:t>
            </w:r>
            <w:r w:rsidR="00D86C4D">
              <w:t>.</w:t>
            </w:r>
          </w:p>
          <w:p w14:paraId="4BA6612A" w14:textId="77777777" w:rsidR="00B31BF9" w:rsidRDefault="00B31BF9" w:rsidP="002D0222">
            <w:pPr>
              <w:pStyle w:val="SubmissionTable"/>
              <w:spacing w:before="0" w:after="0"/>
              <w:rPr>
                <w:rFonts w:cs="Arial"/>
                <w:sz w:val="20"/>
                <w:shd w:val="clear" w:color="auto" w:fill="FFFFFF"/>
              </w:rPr>
            </w:pPr>
          </w:p>
          <w:p w14:paraId="0B8C6751" w14:textId="4F414AB9" w:rsidR="000433F3" w:rsidRPr="005439AF" w:rsidRDefault="00937DDF" w:rsidP="002D0222">
            <w:pPr>
              <w:pStyle w:val="SubmissionTable"/>
              <w:spacing w:before="0" w:after="0"/>
              <w:rPr>
                <w:rFonts w:cs="Arial"/>
                <w:sz w:val="20"/>
                <w:shd w:val="clear" w:color="auto" w:fill="FFFFFF"/>
              </w:rPr>
            </w:pPr>
            <w:r w:rsidRPr="00937DDF">
              <w:rPr>
                <w:rFonts w:cs="Arial"/>
                <w:sz w:val="20"/>
                <w:shd w:val="clear" w:color="auto" w:fill="FFFFFF"/>
              </w:rPr>
              <w:t xml:space="preserve">Qualified support is provided on the basis that further changes are made to the proposed amendment to reflect the economic </w:t>
            </w:r>
            <w:r w:rsidR="00F136F6" w:rsidRPr="00937DDF">
              <w:rPr>
                <w:rFonts w:cs="Arial"/>
                <w:sz w:val="20"/>
                <w:shd w:val="clear" w:color="auto" w:fill="FFFFFF"/>
              </w:rPr>
              <w:t>significance</w:t>
            </w:r>
            <w:r w:rsidRPr="00937DDF">
              <w:rPr>
                <w:rFonts w:cs="Arial"/>
                <w:sz w:val="20"/>
                <w:shd w:val="clear" w:color="auto" w:fill="FFFFFF"/>
              </w:rPr>
              <w:t xml:space="preserve"> of the </w:t>
            </w:r>
            <w:r w:rsidR="00B55B6D">
              <w:rPr>
                <w:rFonts w:cs="Arial"/>
                <w:sz w:val="20"/>
                <w:shd w:val="clear" w:color="auto" w:fill="FFFFFF"/>
              </w:rPr>
              <w:t>TLPI area</w:t>
            </w:r>
            <w:r w:rsidRPr="00937DDF">
              <w:rPr>
                <w:rFonts w:cs="Arial"/>
                <w:sz w:val="20"/>
                <w:shd w:val="clear" w:color="auto" w:fill="FFFFFF"/>
              </w:rPr>
              <w:t>, and the protection of industrial uses as identified within the TLPI</w:t>
            </w:r>
            <w:r w:rsidR="00B55B6D">
              <w:rPr>
                <w:rFonts w:cs="Arial"/>
                <w:sz w:val="20"/>
                <w:shd w:val="clear" w:color="auto" w:fill="FFFFFF"/>
              </w:rPr>
              <w:t xml:space="preserve"> area</w:t>
            </w:r>
            <w:r w:rsidRPr="00937DDF">
              <w:rPr>
                <w:rFonts w:cs="Arial"/>
                <w:sz w:val="20"/>
                <w:shd w:val="clear" w:color="auto" w:fill="FFFFFF"/>
              </w:rPr>
              <w:t>.</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FAB942D" w14:textId="77777777" w:rsidR="00D86C4D" w:rsidRDefault="009D6ED2" w:rsidP="002D0222">
            <w:pPr>
              <w:spacing w:after="0"/>
            </w:pPr>
            <w:r>
              <w:t xml:space="preserve">Support noted. </w:t>
            </w:r>
          </w:p>
          <w:p w14:paraId="62F3088E" w14:textId="0D74C162" w:rsidR="00B31BF9" w:rsidRDefault="00B31BF9" w:rsidP="002D0222">
            <w:pPr>
              <w:spacing w:after="0"/>
            </w:pPr>
          </w:p>
          <w:p w14:paraId="49C8AF50" w14:textId="174E7E1F" w:rsidR="00B31BF9" w:rsidRDefault="00B31BF9" w:rsidP="00B31BF9">
            <w:pPr>
              <w:spacing w:after="0"/>
            </w:pPr>
            <w:r>
              <w:t xml:space="preserve">Council proposed the change in Major K in November 2019. The TLPI was prepared by the Queensland Government and </w:t>
            </w:r>
            <w:proofErr w:type="spellStart"/>
            <w:r>
              <w:t>gazette</w:t>
            </w:r>
            <w:r w:rsidR="00300E90">
              <w:t>d</w:t>
            </w:r>
            <w:proofErr w:type="spellEnd"/>
            <w:r>
              <w:t xml:space="preserve"> on </w:t>
            </w:r>
            <w:r w:rsidRPr="00A354AD">
              <w:t>29 June 2021</w:t>
            </w:r>
            <w:r>
              <w:t>.</w:t>
            </w:r>
          </w:p>
          <w:p w14:paraId="394921CF" w14:textId="45A2E508" w:rsidR="008C179D" w:rsidRDefault="008C179D" w:rsidP="00B31BF9">
            <w:pPr>
              <w:spacing w:after="0"/>
            </w:pPr>
          </w:p>
          <w:p w14:paraId="15392DCA" w14:textId="6E57734E" w:rsidR="008C179D" w:rsidRDefault="008C179D" w:rsidP="00B31BF9">
            <w:pPr>
              <w:spacing w:after="0"/>
            </w:pPr>
            <w:r>
              <w:t>The proposed amendments do not exclude provision of outdoor dining/seating areas for food and drink outlet</w:t>
            </w:r>
            <w:r w:rsidR="00EE76EB">
              <w:t xml:space="preserve"> use</w:t>
            </w:r>
            <w:r>
              <w:t>s</w:t>
            </w:r>
            <w:r w:rsidR="00895E8F">
              <w:t>,</w:t>
            </w:r>
            <w:r>
              <w:t xml:space="preserve"> as they provide amenity for users of the premises.</w:t>
            </w:r>
          </w:p>
          <w:p w14:paraId="532B938F" w14:textId="77777777" w:rsidR="00B31BF9" w:rsidRDefault="00B31BF9" w:rsidP="002D0222">
            <w:pPr>
              <w:spacing w:after="0"/>
            </w:pPr>
          </w:p>
          <w:p w14:paraId="24644B1F" w14:textId="676FDAA8" w:rsidR="004177A1" w:rsidRPr="006C41A0" w:rsidRDefault="009D6ED2" w:rsidP="002D0222">
            <w:pPr>
              <w:spacing w:after="0"/>
            </w:pPr>
            <w:r>
              <w:t xml:space="preserve">Further investigation and appropriate consultation </w:t>
            </w:r>
            <w:r w:rsidR="00895E8F">
              <w:t>are</w:t>
            </w:r>
            <w:r>
              <w:t xml:space="preserve"> required prior to</w:t>
            </w:r>
            <w:r w:rsidR="000013EC">
              <w:t xml:space="preserve"> the </w:t>
            </w:r>
            <w:r w:rsidR="00B31BF9">
              <w:t xml:space="preserve">TLPI being integrated </w:t>
            </w:r>
            <w:r w:rsidRPr="00854428">
              <w:t>into City Plan</w:t>
            </w:r>
            <w: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6A29CAF" w14:textId="14EA269B" w:rsidR="004177A1" w:rsidRDefault="009D6ED2" w:rsidP="002A1ABF">
            <w:pPr>
              <w:pStyle w:val="SubmissionTable"/>
              <w:spacing w:before="0" w:after="0"/>
            </w:pPr>
            <w:r>
              <w:t>No change.</w:t>
            </w:r>
          </w:p>
        </w:tc>
      </w:tr>
    </w:tbl>
    <w:p w14:paraId="1926C0E7" w14:textId="77777777" w:rsidR="00733C3F" w:rsidRDefault="00733C3F" w:rsidP="002D0222">
      <w:pPr>
        <w:pStyle w:val="Heading3"/>
        <w:spacing w:after="0"/>
      </w:pPr>
    </w:p>
    <w:p w14:paraId="011ADC53" w14:textId="77777777" w:rsidR="00BD3F4B" w:rsidRDefault="00BD3F4B">
      <w:pPr>
        <w:spacing w:after="0"/>
        <w:rPr>
          <w:b/>
          <w:sz w:val="32"/>
        </w:rPr>
      </w:pPr>
      <w:r>
        <w:br w:type="page"/>
      </w:r>
    </w:p>
    <w:p w14:paraId="2522B7E4" w14:textId="367351EE" w:rsidR="00F97688" w:rsidRDefault="00781DA5" w:rsidP="002D0222">
      <w:pPr>
        <w:pStyle w:val="Heading3"/>
        <w:spacing w:after="0"/>
      </w:pPr>
      <w:bookmarkStart w:id="17" w:name="_Toc117175565"/>
      <w:r w:rsidRPr="00693401">
        <w:lastRenderedPageBreak/>
        <w:t>3.</w:t>
      </w:r>
      <w:r w:rsidR="00100C7D">
        <w:t>4</w:t>
      </w:r>
      <w:r w:rsidR="00CB51D5" w:rsidRPr="00693401">
        <w:tab/>
      </w:r>
      <w:r w:rsidR="00230441" w:rsidRPr="00693401">
        <w:t>Park</w:t>
      </w:r>
      <w:r w:rsidR="00466416">
        <w:t xml:space="preserve"> changes</w:t>
      </w:r>
      <w:bookmarkEnd w:id="17"/>
    </w:p>
    <w:p w14:paraId="41046DA7" w14:textId="77777777" w:rsidR="003239EB" w:rsidRPr="003239EB" w:rsidRDefault="003239EB" w:rsidP="003239EB">
      <w:pPr>
        <w:spacing w:after="0"/>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72"/>
        <w:gridCol w:w="5669"/>
        <w:gridCol w:w="5559"/>
        <w:gridCol w:w="1559"/>
      </w:tblGrid>
      <w:tr w:rsidR="00F97688" w:rsidRPr="00C704C9" w14:paraId="7CEEA2D5" w14:textId="77777777" w:rsidTr="00AB2A0E">
        <w:trPr>
          <w:trHeight w:val="58"/>
          <w:tblHeader/>
        </w:trPr>
        <w:tc>
          <w:tcPr>
            <w:tcW w:w="1672" w:type="dxa"/>
            <w:shd w:val="clear" w:color="auto" w:fill="D9D9D9" w:themeFill="background1" w:themeFillShade="D9"/>
            <w:noWrap/>
          </w:tcPr>
          <w:p w14:paraId="3FF572C8" w14:textId="77777777" w:rsidR="00F97688" w:rsidRPr="00C704C9" w:rsidRDefault="00F97688" w:rsidP="002D0222">
            <w:pPr>
              <w:pStyle w:val="SubmissionTableHeadingBold"/>
              <w:spacing w:before="0" w:after="0"/>
              <w:rPr>
                <w:rFonts w:cs="Arial"/>
                <w:sz w:val="20"/>
                <w:lang w:val="en-AU"/>
              </w:rPr>
            </w:pPr>
            <w:r w:rsidRPr="00C704C9">
              <w:rPr>
                <w:rFonts w:cs="Arial"/>
                <w:sz w:val="20"/>
                <w:lang w:val="en-AU"/>
              </w:rPr>
              <w:t>Submission Reference</w:t>
            </w:r>
          </w:p>
        </w:tc>
        <w:tc>
          <w:tcPr>
            <w:tcW w:w="5669" w:type="dxa"/>
            <w:shd w:val="clear" w:color="auto" w:fill="D9D9D9" w:themeFill="background1" w:themeFillShade="D9"/>
          </w:tcPr>
          <w:p w14:paraId="46412B09" w14:textId="77777777" w:rsidR="00F97688" w:rsidRPr="00C704C9" w:rsidRDefault="00F97688" w:rsidP="002D0222">
            <w:pPr>
              <w:pStyle w:val="SubmissionTableHeadingBold"/>
              <w:spacing w:before="0" w:after="0"/>
              <w:rPr>
                <w:rFonts w:cs="Arial"/>
                <w:sz w:val="20"/>
                <w:lang w:val="en-AU"/>
              </w:rPr>
            </w:pPr>
            <w:r w:rsidRPr="00C704C9">
              <w:rPr>
                <w:rFonts w:cs="Arial"/>
                <w:sz w:val="20"/>
                <w:lang w:val="en-AU"/>
              </w:rPr>
              <w:t>Submission Summary</w:t>
            </w:r>
          </w:p>
        </w:tc>
        <w:tc>
          <w:tcPr>
            <w:tcW w:w="5559" w:type="dxa"/>
            <w:shd w:val="clear" w:color="auto" w:fill="D9D9D9" w:themeFill="background1" w:themeFillShade="D9"/>
          </w:tcPr>
          <w:p w14:paraId="4D1CE3F1" w14:textId="77777777" w:rsidR="00F97688" w:rsidRPr="00C704C9" w:rsidRDefault="00F97688" w:rsidP="002D0222">
            <w:pPr>
              <w:pStyle w:val="SubmissionTableHeadingBold"/>
              <w:spacing w:before="0" w:after="0"/>
              <w:rPr>
                <w:rFonts w:cs="Arial"/>
                <w:sz w:val="20"/>
                <w:lang w:val="en-AU"/>
              </w:rPr>
            </w:pPr>
            <w:r w:rsidRPr="00C704C9">
              <w:rPr>
                <w:rFonts w:cs="Arial"/>
                <w:sz w:val="20"/>
                <w:lang w:val="en-AU"/>
              </w:rPr>
              <w:t>Response</w:t>
            </w:r>
          </w:p>
        </w:tc>
        <w:tc>
          <w:tcPr>
            <w:tcW w:w="1559" w:type="dxa"/>
            <w:shd w:val="clear" w:color="auto" w:fill="D9D9D9" w:themeFill="background1" w:themeFillShade="D9"/>
          </w:tcPr>
          <w:p w14:paraId="68616F10" w14:textId="77777777" w:rsidR="00F97688" w:rsidRPr="00C704C9" w:rsidRDefault="00F97688" w:rsidP="00F05C2A">
            <w:pPr>
              <w:pStyle w:val="SubmissionTableHeadingBold"/>
              <w:spacing w:before="0" w:after="0"/>
              <w:rPr>
                <w:rFonts w:cs="Arial"/>
                <w:sz w:val="20"/>
                <w:lang w:val="en-AU"/>
              </w:rPr>
            </w:pPr>
            <w:r w:rsidRPr="00C704C9">
              <w:rPr>
                <w:rFonts w:cs="Arial"/>
                <w:sz w:val="20"/>
                <w:lang w:val="en-AU"/>
              </w:rPr>
              <w:t>Change required</w:t>
            </w:r>
          </w:p>
        </w:tc>
      </w:tr>
      <w:tr w:rsidR="00086AE6" w:rsidRPr="00C704C9" w14:paraId="3EEBDF6D" w14:textId="77777777" w:rsidTr="00AB2A0E">
        <w:trPr>
          <w:trHeight w:val="58"/>
        </w:trPr>
        <w:tc>
          <w:tcPr>
            <w:tcW w:w="1672" w:type="dxa"/>
            <w:shd w:val="clear" w:color="auto" w:fill="auto"/>
            <w:noWrap/>
          </w:tcPr>
          <w:p w14:paraId="2D222F46" w14:textId="04D62375" w:rsidR="0094663B" w:rsidRPr="00C704C9" w:rsidRDefault="003B10A0" w:rsidP="002D0222">
            <w:pPr>
              <w:pStyle w:val="SubmissionTable"/>
              <w:spacing w:before="0" w:after="0"/>
              <w:rPr>
                <w:rFonts w:cs="Arial"/>
                <w:sz w:val="20"/>
                <w:lang w:val="en-AU"/>
              </w:rPr>
            </w:pPr>
            <w:r w:rsidRPr="00157167">
              <w:rPr>
                <w:rFonts w:cs="Arial"/>
                <w:sz w:val="20"/>
              </w:rPr>
              <w:t>MK-042</w:t>
            </w:r>
          </w:p>
        </w:tc>
        <w:tc>
          <w:tcPr>
            <w:tcW w:w="5669" w:type="dxa"/>
            <w:shd w:val="clear" w:color="auto" w:fill="auto"/>
          </w:tcPr>
          <w:p w14:paraId="137C6194" w14:textId="66EE3E7A" w:rsidR="000433F3" w:rsidRPr="005439AF" w:rsidRDefault="008418FC" w:rsidP="00425E6E">
            <w:pPr>
              <w:pStyle w:val="SubmissionTable"/>
              <w:spacing w:before="0" w:after="0"/>
              <w:rPr>
                <w:rFonts w:cs="Arial"/>
                <w:sz w:val="20"/>
                <w:shd w:val="clear" w:color="auto" w:fill="FFFFFF"/>
              </w:rPr>
            </w:pPr>
            <w:r>
              <w:rPr>
                <w:rFonts w:cs="Arial"/>
                <w:sz w:val="20"/>
                <w:shd w:val="clear" w:color="auto" w:fill="FFFFFF"/>
              </w:rPr>
              <w:t>The s</w:t>
            </w:r>
            <w:r w:rsidR="0029500C" w:rsidRPr="00C704C9">
              <w:rPr>
                <w:rFonts w:cs="Arial"/>
                <w:sz w:val="20"/>
                <w:shd w:val="clear" w:color="auto" w:fill="FFFFFF"/>
              </w:rPr>
              <w:t>ubmitter supports the clarification of</w:t>
            </w:r>
            <w:r w:rsidR="0063347B">
              <w:rPr>
                <w:rFonts w:cs="Arial"/>
                <w:sz w:val="20"/>
                <w:shd w:val="clear" w:color="auto" w:fill="FFFFFF"/>
              </w:rPr>
              <w:t xml:space="preserve"> the</w:t>
            </w:r>
            <w:r w:rsidR="0029500C" w:rsidRPr="00C704C9">
              <w:rPr>
                <w:rFonts w:cs="Arial"/>
                <w:sz w:val="20"/>
                <w:shd w:val="clear" w:color="auto" w:fill="FFFFFF"/>
              </w:rPr>
              <w:t xml:space="preserve"> park use as appropriate throughout the city.</w:t>
            </w:r>
          </w:p>
        </w:tc>
        <w:tc>
          <w:tcPr>
            <w:tcW w:w="5559" w:type="dxa"/>
            <w:shd w:val="clear" w:color="auto" w:fill="auto"/>
          </w:tcPr>
          <w:p w14:paraId="25B839BE" w14:textId="4559A83F" w:rsidR="00086AE6" w:rsidRPr="00C704C9" w:rsidRDefault="00157167" w:rsidP="002D0222">
            <w:pPr>
              <w:pStyle w:val="paragraph"/>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Support noted</w:t>
            </w:r>
            <w:r w:rsidR="00060606">
              <w:rPr>
                <w:rFonts w:ascii="Arial" w:hAnsi="Arial" w:cs="Arial"/>
                <w:color w:val="000000"/>
                <w:sz w:val="20"/>
                <w:szCs w:val="20"/>
              </w:rPr>
              <w:t>.</w:t>
            </w:r>
          </w:p>
        </w:tc>
        <w:tc>
          <w:tcPr>
            <w:tcW w:w="1559" w:type="dxa"/>
            <w:shd w:val="clear" w:color="auto" w:fill="auto"/>
          </w:tcPr>
          <w:p w14:paraId="278BF2BC" w14:textId="6A5F6E42" w:rsidR="00086AE6" w:rsidRPr="00C704C9" w:rsidRDefault="00060606" w:rsidP="002A1ABF">
            <w:pPr>
              <w:pStyle w:val="SubmissionTable"/>
              <w:spacing w:before="0" w:after="0"/>
              <w:rPr>
                <w:rFonts w:cs="Arial"/>
                <w:sz w:val="20"/>
                <w:lang w:val="en-AU"/>
              </w:rPr>
            </w:pPr>
            <w:r>
              <w:rPr>
                <w:rFonts w:cs="Arial"/>
                <w:sz w:val="20"/>
                <w:lang w:val="en-AU"/>
              </w:rPr>
              <w:t>No change</w:t>
            </w:r>
          </w:p>
        </w:tc>
      </w:tr>
    </w:tbl>
    <w:p w14:paraId="4FF4B4C0" w14:textId="787B5ECD" w:rsidR="00230441" w:rsidRDefault="00230441" w:rsidP="003239EB">
      <w:pPr>
        <w:pStyle w:val="Heading3"/>
        <w:keepLines/>
        <w:spacing w:after="0"/>
      </w:pPr>
      <w:bookmarkStart w:id="18" w:name="_Toc117175566"/>
      <w:r w:rsidRPr="00693401">
        <w:lastRenderedPageBreak/>
        <w:t>3.</w:t>
      </w:r>
      <w:r w:rsidR="00100C7D">
        <w:t>5</w:t>
      </w:r>
      <w:r w:rsidR="00A73AB9">
        <w:tab/>
      </w:r>
      <w:r w:rsidRPr="00693401">
        <w:t>Heritage</w:t>
      </w:r>
      <w:r w:rsidR="00466416">
        <w:t xml:space="preserve"> changes</w:t>
      </w:r>
      <w:bookmarkEnd w:id="18"/>
    </w:p>
    <w:p w14:paraId="3B9C5BD2" w14:textId="77777777" w:rsidR="003239EB" w:rsidRPr="003239EB" w:rsidRDefault="003239EB" w:rsidP="003239EB">
      <w:pPr>
        <w:keepNext/>
        <w:keepLines/>
        <w:spacing w:after="0"/>
      </w:pPr>
    </w:p>
    <w:tbl>
      <w:tblPr>
        <w:tblW w:w="15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709"/>
        <w:gridCol w:w="5811"/>
        <w:gridCol w:w="5988"/>
        <w:gridCol w:w="1565"/>
      </w:tblGrid>
      <w:tr w:rsidR="00230441" w:rsidRPr="00C704C9" w14:paraId="557C789B" w14:textId="77777777" w:rsidTr="004419FE">
        <w:trPr>
          <w:trHeight w:val="49"/>
          <w:tblHeader/>
        </w:trPr>
        <w:tc>
          <w:tcPr>
            <w:tcW w:w="1709" w:type="dxa"/>
            <w:shd w:val="clear" w:color="auto" w:fill="D9D9D9" w:themeFill="background1" w:themeFillShade="D9"/>
            <w:noWrap/>
          </w:tcPr>
          <w:p w14:paraId="79C71186" w14:textId="77777777" w:rsidR="00230441" w:rsidRPr="00C704C9" w:rsidRDefault="00230441" w:rsidP="003239EB">
            <w:pPr>
              <w:pStyle w:val="SubmissionTableHeadingBold"/>
              <w:keepNext/>
              <w:keepLines/>
              <w:spacing w:before="0" w:after="0"/>
              <w:rPr>
                <w:rFonts w:cs="Arial"/>
                <w:sz w:val="20"/>
                <w:lang w:val="en-AU"/>
              </w:rPr>
            </w:pPr>
            <w:r w:rsidRPr="00C704C9">
              <w:rPr>
                <w:rFonts w:cs="Arial"/>
                <w:sz w:val="20"/>
                <w:lang w:val="en-AU"/>
              </w:rPr>
              <w:t>Submission Reference</w:t>
            </w:r>
          </w:p>
        </w:tc>
        <w:tc>
          <w:tcPr>
            <w:tcW w:w="5811" w:type="dxa"/>
            <w:shd w:val="clear" w:color="auto" w:fill="D9D9D9" w:themeFill="background1" w:themeFillShade="D9"/>
          </w:tcPr>
          <w:p w14:paraId="64F83179" w14:textId="77777777" w:rsidR="00230441" w:rsidRPr="00C704C9" w:rsidRDefault="00230441" w:rsidP="003239EB">
            <w:pPr>
              <w:pStyle w:val="SubmissionTableHeadingBold"/>
              <w:keepNext/>
              <w:keepLines/>
              <w:spacing w:before="0" w:after="0"/>
              <w:rPr>
                <w:rFonts w:cs="Arial"/>
                <w:sz w:val="20"/>
                <w:lang w:val="en-AU"/>
              </w:rPr>
            </w:pPr>
            <w:r w:rsidRPr="00C704C9">
              <w:rPr>
                <w:rFonts w:cs="Arial"/>
                <w:sz w:val="20"/>
                <w:lang w:val="en-AU"/>
              </w:rPr>
              <w:t>Submission Summary</w:t>
            </w:r>
          </w:p>
        </w:tc>
        <w:tc>
          <w:tcPr>
            <w:tcW w:w="5988" w:type="dxa"/>
            <w:shd w:val="clear" w:color="auto" w:fill="D9D9D9" w:themeFill="background1" w:themeFillShade="D9"/>
          </w:tcPr>
          <w:p w14:paraId="208EC919" w14:textId="77777777" w:rsidR="00230441" w:rsidRPr="00C704C9" w:rsidRDefault="00230441" w:rsidP="003239EB">
            <w:pPr>
              <w:pStyle w:val="SubmissionTableHeadingBold"/>
              <w:keepNext/>
              <w:keepLines/>
              <w:spacing w:before="0" w:after="0"/>
              <w:rPr>
                <w:rFonts w:cs="Arial"/>
                <w:sz w:val="20"/>
                <w:lang w:val="en-AU"/>
              </w:rPr>
            </w:pPr>
            <w:r w:rsidRPr="00C704C9">
              <w:rPr>
                <w:rFonts w:cs="Arial"/>
                <w:sz w:val="20"/>
                <w:lang w:val="en-AU"/>
              </w:rPr>
              <w:t>Response</w:t>
            </w:r>
          </w:p>
        </w:tc>
        <w:tc>
          <w:tcPr>
            <w:tcW w:w="1565" w:type="dxa"/>
            <w:shd w:val="clear" w:color="auto" w:fill="D9D9D9" w:themeFill="background1" w:themeFillShade="D9"/>
          </w:tcPr>
          <w:p w14:paraId="20C58B44" w14:textId="77777777" w:rsidR="00230441" w:rsidRPr="00C704C9" w:rsidRDefault="00230441" w:rsidP="003239EB">
            <w:pPr>
              <w:pStyle w:val="SubmissionTableHeadingBold"/>
              <w:keepNext/>
              <w:keepLines/>
              <w:spacing w:before="0" w:after="0"/>
              <w:rPr>
                <w:rFonts w:cs="Arial"/>
                <w:sz w:val="20"/>
                <w:lang w:val="en-AU"/>
              </w:rPr>
            </w:pPr>
            <w:r w:rsidRPr="00C704C9">
              <w:rPr>
                <w:rFonts w:cs="Arial"/>
                <w:sz w:val="20"/>
                <w:lang w:val="en-AU"/>
              </w:rPr>
              <w:t>Change required</w:t>
            </w:r>
          </w:p>
        </w:tc>
      </w:tr>
      <w:tr w:rsidR="00762677" w:rsidRPr="00C704C9" w14:paraId="53DC4DD5" w14:textId="77777777" w:rsidTr="004419FE">
        <w:trPr>
          <w:trHeight w:val="7532"/>
        </w:trPr>
        <w:tc>
          <w:tcPr>
            <w:tcW w:w="1709" w:type="dxa"/>
            <w:shd w:val="clear" w:color="auto" w:fill="auto"/>
            <w:noWrap/>
          </w:tcPr>
          <w:p w14:paraId="232BC866" w14:textId="116C6069" w:rsidR="00762677" w:rsidRPr="00C704C9" w:rsidRDefault="00762677" w:rsidP="003239EB">
            <w:pPr>
              <w:pStyle w:val="SubmissionTable"/>
              <w:spacing w:before="0" w:after="0"/>
              <w:rPr>
                <w:rFonts w:cs="Arial"/>
                <w:sz w:val="20"/>
                <w:lang w:val="en-AU"/>
              </w:rPr>
            </w:pPr>
            <w:r w:rsidRPr="00157167">
              <w:rPr>
                <w:rFonts w:cs="Arial"/>
                <w:sz w:val="20"/>
              </w:rPr>
              <w:t>MK-04</w:t>
            </w:r>
            <w:r>
              <w:rPr>
                <w:rFonts w:cs="Arial"/>
                <w:sz w:val="20"/>
              </w:rPr>
              <w:t>5</w:t>
            </w:r>
          </w:p>
        </w:tc>
        <w:tc>
          <w:tcPr>
            <w:tcW w:w="5811" w:type="dxa"/>
            <w:shd w:val="clear" w:color="auto" w:fill="auto"/>
          </w:tcPr>
          <w:p w14:paraId="14937557" w14:textId="24B4409F" w:rsidR="00762677" w:rsidRDefault="00B30845" w:rsidP="003239EB">
            <w:pPr>
              <w:pStyle w:val="SubmissionTable"/>
              <w:spacing w:before="0" w:after="0"/>
              <w:rPr>
                <w:rFonts w:cs="Arial"/>
                <w:sz w:val="20"/>
                <w:shd w:val="clear" w:color="auto" w:fill="FFFFFF"/>
              </w:rPr>
            </w:pPr>
            <w:r>
              <w:rPr>
                <w:rFonts w:cs="Arial"/>
                <w:sz w:val="20"/>
                <w:shd w:val="clear" w:color="auto" w:fill="FFFFFF"/>
              </w:rPr>
              <w:t>The s</w:t>
            </w:r>
            <w:r w:rsidR="00762677" w:rsidRPr="00C704C9">
              <w:rPr>
                <w:rFonts w:cs="Arial"/>
                <w:sz w:val="20"/>
                <w:shd w:val="clear" w:color="auto" w:fill="FFFFFF"/>
              </w:rPr>
              <w:t>ubmitter suppo</w:t>
            </w:r>
            <w:r w:rsidR="00762677">
              <w:rPr>
                <w:rFonts w:cs="Arial"/>
                <w:sz w:val="20"/>
                <w:shd w:val="clear" w:color="auto" w:fill="FFFFFF"/>
              </w:rPr>
              <w:t>rts the amendment</w:t>
            </w:r>
            <w:r w:rsidR="00AC1A80">
              <w:rPr>
                <w:rFonts w:cs="Arial"/>
                <w:sz w:val="20"/>
                <w:shd w:val="clear" w:color="auto" w:fill="FFFFFF"/>
              </w:rPr>
              <w:t>,</w:t>
            </w:r>
            <w:r w:rsidR="00762677">
              <w:rPr>
                <w:rFonts w:cs="Arial"/>
                <w:sz w:val="20"/>
                <w:shd w:val="clear" w:color="auto" w:fill="FFFFFF"/>
              </w:rPr>
              <w:t xml:space="preserve"> </w:t>
            </w:r>
            <w:proofErr w:type="gramStart"/>
            <w:r w:rsidR="00932885">
              <w:rPr>
                <w:rFonts w:cs="Arial"/>
                <w:sz w:val="20"/>
                <w:shd w:val="clear" w:color="auto" w:fill="FFFFFF"/>
              </w:rPr>
              <w:t>however</w:t>
            </w:r>
            <w:proofErr w:type="gramEnd"/>
            <w:r w:rsidR="00762677">
              <w:rPr>
                <w:rFonts w:cs="Arial"/>
                <w:sz w:val="20"/>
                <w:shd w:val="clear" w:color="auto" w:fill="FFFFFF"/>
              </w:rPr>
              <w:t xml:space="preserve"> </w:t>
            </w:r>
            <w:r w:rsidR="00762677" w:rsidRPr="00C704C9">
              <w:rPr>
                <w:rFonts w:cs="Arial"/>
                <w:sz w:val="20"/>
                <w:shd w:val="clear" w:color="auto" w:fill="FFFFFF"/>
              </w:rPr>
              <w:t>recommends</w:t>
            </w:r>
            <w:r w:rsidR="00762677" w:rsidRPr="00B86D8A">
              <w:rPr>
                <w:rFonts w:cs="Arial"/>
                <w:sz w:val="20"/>
                <w:shd w:val="clear" w:color="auto" w:fill="FFFFFF"/>
              </w:rPr>
              <w:t xml:space="preserve"> deleting references to </w:t>
            </w:r>
            <w:r w:rsidR="00C518F1">
              <w:rPr>
                <w:rFonts w:cs="Arial"/>
                <w:sz w:val="20"/>
                <w:shd w:val="clear" w:color="auto" w:fill="FFFFFF"/>
              </w:rPr>
              <w:t xml:space="preserve">the </w:t>
            </w:r>
            <w:r w:rsidR="00762677" w:rsidRPr="00B86D8A">
              <w:rPr>
                <w:rFonts w:cs="Arial"/>
                <w:sz w:val="20"/>
                <w:shd w:val="clear" w:color="auto" w:fill="FFFFFF"/>
              </w:rPr>
              <w:t>S</w:t>
            </w:r>
            <w:r w:rsidR="00C518F1">
              <w:rPr>
                <w:rFonts w:cs="Arial"/>
                <w:sz w:val="20"/>
                <w:shd w:val="clear" w:color="auto" w:fill="FFFFFF"/>
              </w:rPr>
              <w:t xml:space="preserve">tate </w:t>
            </w:r>
            <w:r w:rsidR="00762677" w:rsidRPr="00B86D8A">
              <w:rPr>
                <w:rFonts w:cs="Arial"/>
                <w:sz w:val="20"/>
                <w:shd w:val="clear" w:color="auto" w:fill="FFFFFF"/>
              </w:rPr>
              <w:t>A</w:t>
            </w:r>
            <w:r w:rsidR="00C518F1">
              <w:rPr>
                <w:rFonts w:cs="Arial"/>
                <w:sz w:val="20"/>
                <w:shd w:val="clear" w:color="auto" w:fill="FFFFFF"/>
              </w:rPr>
              <w:t xml:space="preserve">ssessment and </w:t>
            </w:r>
            <w:r w:rsidR="00762677" w:rsidRPr="00B86D8A">
              <w:rPr>
                <w:rFonts w:cs="Arial"/>
                <w:sz w:val="20"/>
                <w:shd w:val="clear" w:color="auto" w:fill="FFFFFF"/>
              </w:rPr>
              <w:t>R</w:t>
            </w:r>
            <w:r w:rsidR="00C518F1">
              <w:rPr>
                <w:rFonts w:cs="Arial"/>
                <w:sz w:val="20"/>
                <w:shd w:val="clear" w:color="auto" w:fill="FFFFFF"/>
              </w:rPr>
              <w:t xml:space="preserve">eferral </w:t>
            </w:r>
            <w:r w:rsidR="00762677" w:rsidRPr="00B86D8A">
              <w:rPr>
                <w:rFonts w:cs="Arial"/>
                <w:sz w:val="20"/>
                <w:shd w:val="clear" w:color="auto" w:fill="FFFFFF"/>
              </w:rPr>
              <w:t>A</w:t>
            </w:r>
            <w:r w:rsidR="00C518F1">
              <w:rPr>
                <w:rFonts w:cs="Arial"/>
                <w:sz w:val="20"/>
                <w:shd w:val="clear" w:color="auto" w:fill="FFFFFF"/>
              </w:rPr>
              <w:t>gency</w:t>
            </w:r>
            <w:r w:rsidR="00762677" w:rsidRPr="00B86D8A">
              <w:rPr>
                <w:rFonts w:cs="Arial"/>
                <w:sz w:val="20"/>
                <w:shd w:val="clear" w:color="auto" w:fill="FFFFFF"/>
              </w:rPr>
              <w:t xml:space="preserve"> and State heritage place</w:t>
            </w:r>
            <w:r w:rsidR="00762677">
              <w:rPr>
                <w:rFonts w:cs="Arial"/>
                <w:sz w:val="20"/>
                <w:shd w:val="clear" w:color="auto" w:fill="FFFFFF"/>
              </w:rPr>
              <w:t>s</w:t>
            </w:r>
            <w:r w:rsidR="00932885">
              <w:rPr>
                <w:rFonts w:cs="Arial"/>
                <w:sz w:val="20"/>
                <w:shd w:val="clear" w:color="auto" w:fill="FFFFFF"/>
              </w:rPr>
              <w:t>,</w:t>
            </w:r>
            <w:r w:rsidR="00762677">
              <w:rPr>
                <w:rFonts w:cs="Arial"/>
                <w:sz w:val="20"/>
                <w:shd w:val="clear" w:color="auto" w:fill="FFFFFF"/>
              </w:rPr>
              <w:t xml:space="preserve"> as under the </w:t>
            </w:r>
            <w:r w:rsidR="00762677" w:rsidRPr="000433F3">
              <w:rPr>
                <w:rFonts w:cs="Arial"/>
                <w:i/>
                <w:iCs/>
                <w:sz w:val="20"/>
                <w:shd w:val="clear" w:color="auto" w:fill="FFFFFF"/>
              </w:rPr>
              <w:t>Planning Act</w:t>
            </w:r>
            <w:r w:rsidR="00300E90" w:rsidRPr="000433F3">
              <w:rPr>
                <w:rFonts w:cs="Arial"/>
                <w:i/>
                <w:iCs/>
                <w:sz w:val="20"/>
                <w:shd w:val="clear" w:color="auto" w:fill="FFFFFF"/>
              </w:rPr>
              <w:t xml:space="preserve"> 2016</w:t>
            </w:r>
            <w:r w:rsidR="00762677">
              <w:rPr>
                <w:rFonts w:cs="Arial"/>
                <w:sz w:val="20"/>
                <w:shd w:val="clear" w:color="auto" w:fill="FFFFFF"/>
              </w:rPr>
              <w:t>, Council does not have jurisdiction over State heritage places or land adjoining a State heritage place</w:t>
            </w:r>
            <w:r w:rsidR="00724126">
              <w:rPr>
                <w:rFonts w:cs="Arial"/>
                <w:sz w:val="20"/>
                <w:shd w:val="clear" w:color="auto" w:fill="FFFFFF"/>
              </w:rPr>
              <w:t>. C</w:t>
            </w:r>
            <w:r w:rsidR="00762677">
              <w:rPr>
                <w:rFonts w:cs="Arial"/>
                <w:sz w:val="20"/>
                <w:shd w:val="clear" w:color="auto" w:fill="FFFFFF"/>
              </w:rPr>
              <w:t>hanges to the following sections</w:t>
            </w:r>
            <w:r w:rsidR="00724126">
              <w:rPr>
                <w:rFonts w:cs="Arial"/>
                <w:sz w:val="20"/>
                <w:shd w:val="clear" w:color="auto" w:fill="FFFFFF"/>
              </w:rPr>
              <w:t xml:space="preserve"> are recommended</w:t>
            </w:r>
            <w:r w:rsidR="00762677">
              <w:rPr>
                <w:rFonts w:cs="Arial"/>
                <w:sz w:val="20"/>
                <w:shd w:val="clear" w:color="auto" w:fill="FFFFFF"/>
              </w:rPr>
              <w:t>:</w:t>
            </w:r>
          </w:p>
          <w:p w14:paraId="497149F5" w14:textId="2E746CA0" w:rsidR="00762677" w:rsidRDefault="00762677" w:rsidP="003239EB">
            <w:pPr>
              <w:pStyle w:val="SubmissionTable"/>
              <w:numPr>
                <w:ilvl w:val="0"/>
                <w:numId w:val="28"/>
              </w:numPr>
              <w:spacing w:before="0" w:after="0"/>
              <w:rPr>
                <w:rFonts w:cs="Arial"/>
                <w:sz w:val="20"/>
                <w:shd w:val="clear" w:color="auto" w:fill="FFFFFF"/>
              </w:rPr>
            </w:pPr>
            <w:r>
              <w:rPr>
                <w:rFonts w:cs="Arial"/>
                <w:sz w:val="20"/>
                <w:shd w:val="clear" w:color="auto" w:fill="FFFFFF"/>
              </w:rPr>
              <w:t>Heritage overlay, Section B – If in the area adjoining heritage sub-category.</w:t>
            </w:r>
          </w:p>
          <w:p w14:paraId="169D9545" w14:textId="6B79EC50" w:rsidR="00762677" w:rsidRPr="00B86D8A" w:rsidRDefault="00762677" w:rsidP="003239EB">
            <w:pPr>
              <w:pStyle w:val="SubmissionTable"/>
              <w:numPr>
                <w:ilvl w:val="0"/>
                <w:numId w:val="28"/>
              </w:numPr>
              <w:spacing w:before="0" w:after="0"/>
              <w:rPr>
                <w:rFonts w:cs="Arial"/>
                <w:sz w:val="20"/>
                <w:shd w:val="clear" w:color="auto" w:fill="FFFFFF"/>
              </w:rPr>
            </w:pPr>
            <w:r w:rsidRPr="00E10656">
              <w:rPr>
                <w:rFonts w:cs="Arial"/>
                <w:sz w:val="20"/>
                <w:shd w:val="clear" w:color="auto" w:fill="FFFFFF"/>
              </w:rPr>
              <w:t>SC6.13 Heritage planning scheme policy</w:t>
            </w:r>
            <w:r>
              <w:rPr>
                <w:rFonts w:cs="Arial"/>
                <w:sz w:val="20"/>
                <w:shd w:val="clear" w:color="auto" w:fill="FFFFFF"/>
              </w:rPr>
              <w:t xml:space="preserve"> (PSP)</w:t>
            </w:r>
            <w:r w:rsidR="00300E90">
              <w:rPr>
                <w:rFonts w:cs="Arial"/>
                <w:sz w:val="20"/>
                <w:shd w:val="clear" w:color="auto" w:fill="FFFFFF"/>
              </w:rPr>
              <w:t>.</w:t>
            </w:r>
            <w:r>
              <w:rPr>
                <w:rFonts w:cs="Arial"/>
                <w:sz w:val="20"/>
                <w:shd w:val="clear" w:color="auto" w:fill="FFFFFF"/>
              </w:rPr>
              <w:t xml:space="preserve"> </w:t>
            </w:r>
          </w:p>
          <w:p w14:paraId="26D38105" w14:textId="77777777" w:rsidR="00762677" w:rsidRDefault="00762677" w:rsidP="003239EB">
            <w:pPr>
              <w:pStyle w:val="SubmissionTable"/>
              <w:spacing w:before="0" w:after="0"/>
              <w:rPr>
                <w:rFonts w:cs="Arial"/>
                <w:sz w:val="20"/>
                <w:shd w:val="clear" w:color="auto" w:fill="FFFFFF"/>
              </w:rPr>
            </w:pPr>
          </w:p>
          <w:p w14:paraId="40C57F2B" w14:textId="232C62EB" w:rsidR="00762677" w:rsidRDefault="003B133E" w:rsidP="003239EB">
            <w:pPr>
              <w:pStyle w:val="SubmissionTable"/>
              <w:spacing w:before="0" w:after="0"/>
              <w:rPr>
                <w:rFonts w:cs="Arial"/>
                <w:sz w:val="20"/>
                <w:shd w:val="clear" w:color="auto" w:fill="FFFFFF"/>
              </w:rPr>
            </w:pPr>
            <w:r>
              <w:rPr>
                <w:rFonts w:cs="Arial"/>
                <w:sz w:val="20"/>
                <w:shd w:val="clear" w:color="auto" w:fill="FFFFFF"/>
              </w:rPr>
              <w:t>The s</w:t>
            </w:r>
            <w:r w:rsidR="00762677" w:rsidRPr="00C704C9">
              <w:rPr>
                <w:rFonts w:cs="Arial"/>
                <w:sz w:val="20"/>
                <w:shd w:val="clear" w:color="auto" w:fill="FFFFFF"/>
              </w:rPr>
              <w:t>ubmitter supports</w:t>
            </w:r>
            <w:r w:rsidR="00425E6E">
              <w:rPr>
                <w:rFonts w:cs="Arial"/>
                <w:sz w:val="20"/>
                <w:shd w:val="clear" w:color="auto" w:fill="FFFFFF"/>
              </w:rPr>
              <w:t>,</w:t>
            </w:r>
            <w:r w:rsidR="00762677" w:rsidRPr="00C704C9">
              <w:rPr>
                <w:rFonts w:cs="Arial"/>
                <w:sz w:val="20"/>
                <w:shd w:val="clear" w:color="auto" w:fill="FFFFFF"/>
              </w:rPr>
              <w:t xml:space="preserve"> in part</w:t>
            </w:r>
            <w:r w:rsidR="00425E6E">
              <w:rPr>
                <w:rFonts w:cs="Arial"/>
                <w:sz w:val="20"/>
                <w:shd w:val="clear" w:color="auto" w:fill="FFFFFF"/>
              </w:rPr>
              <w:t>,</w:t>
            </w:r>
            <w:r w:rsidR="00762677" w:rsidRPr="00C704C9">
              <w:rPr>
                <w:rFonts w:cs="Arial"/>
                <w:sz w:val="20"/>
                <w:shd w:val="clear" w:color="auto" w:fill="FFFFFF"/>
              </w:rPr>
              <w:t xml:space="preserve"> </w:t>
            </w:r>
            <w:r w:rsidR="00762677">
              <w:rPr>
                <w:rFonts w:cs="Arial"/>
                <w:sz w:val="20"/>
                <w:shd w:val="clear" w:color="auto" w:fill="FFFFFF"/>
              </w:rPr>
              <w:t>the Heritage PSP</w:t>
            </w:r>
            <w:r w:rsidR="00762677" w:rsidRPr="00C704C9">
              <w:rPr>
                <w:rFonts w:cs="Arial"/>
                <w:sz w:val="20"/>
                <w:shd w:val="clear" w:color="auto" w:fill="FFFFFF"/>
              </w:rPr>
              <w:t xml:space="preserve"> </w:t>
            </w:r>
            <w:r w:rsidR="00762677" w:rsidRPr="00765B4B">
              <w:rPr>
                <w:rFonts w:cs="Arial"/>
                <w:sz w:val="20"/>
                <w:shd w:val="clear" w:color="auto" w:fill="FFFFFF"/>
              </w:rPr>
              <w:t>Sub</w:t>
            </w:r>
            <w:r w:rsidR="00822335">
              <w:rPr>
                <w:rFonts w:cs="Arial"/>
                <w:sz w:val="20"/>
                <w:shd w:val="clear" w:color="auto" w:fill="FFFFFF"/>
              </w:rPr>
              <w:noBreakHyphen/>
            </w:r>
            <w:r w:rsidR="00762677" w:rsidRPr="00765B4B">
              <w:rPr>
                <w:rFonts w:cs="Arial"/>
                <w:sz w:val="20"/>
                <w:shd w:val="clear" w:color="auto" w:fill="FFFFFF"/>
              </w:rPr>
              <w:t>section:</w:t>
            </w:r>
            <w:r w:rsidR="00425E6E">
              <w:rPr>
                <w:rFonts w:cs="Arial"/>
                <w:sz w:val="20"/>
                <w:shd w:val="clear" w:color="auto" w:fill="FFFFFF"/>
              </w:rPr>
              <w:t> </w:t>
            </w:r>
            <w:r w:rsidR="00762677" w:rsidRPr="00765B4B">
              <w:rPr>
                <w:rFonts w:cs="Arial"/>
                <w:sz w:val="20"/>
                <w:shd w:val="clear" w:color="auto" w:fill="FFFFFF"/>
              </w:rPr>
              <w:t xml:space="preserve">7 Guidelines for the archival recording of Local heritage </w:t>
            </w:r>
            <w:proofErr w:type="gramStart"/>
            <w:r w:rsidR="00762677" w:rsidRPr="00765B4B">
              <w:rPr>
                <w:rFonts w:cs="Arial"/>
                <w:sz w:val="20"/>
                <w:shd w:val="clear" w:color="auto" w:fill="FFFFFF"/>
              </w:rPr>
              <w:t>places</w:t>
            </w:r>
            <w:r w:rsidR="00762677">
              <w:rPr>
                <w:rFonts w:cs="Arial"/>
                <w:sz w:val="20"/>
                <w:shd w:val="clear" w:color="auto" w:fill="FFFFFF"/>
              </w:rPr>
              <w:t xml:space="preserve">, </w:t>
            </w:r>
            <w:r w:rsidR="00300E90">
              <w:rPr>
                <w:rFonts w:cs="Arial"/>
                <w:sz w:val="20"/>
                <w:shd w:val="clear" w:color="auto" w:fill="FFFFFF"/>
              </w:rPr>
              <w:t>and</w:t>
            </w:r>
            <w:proofErr w:type="gramEnd"/>
            <w:r w:rsidR="00300E90">
              <w:rPr>
                <w:rFonts w:cs="Arial"/>
                <w:sz w:val="20"/>
                <w:shd w:val="clear" w:color="auto" w:fill="FFFFFF"/>
              </w:rPr>
              <w:t xml:space="preserve"> </w:t>
            </w:r>
            <w:r w:rsidR="00762677">
              <w:rPr>
                <w:rFonts w:cs="Arial"/>
                <w:sz w:val="20"/>
                <w:shd w:val="clear" w:color="auto" w:fill="FFFFFF"/>
              </w:rPr>
              <w:t>recommend</w:t>
            </w:r>
            <w:r w:rsidR="00300E90">
              <w:rPr>
                <w:rFonts w:cs="Arial"/>
                <w:sz w:val="20"/>
                <w:shd w:val="clear" w:color="auto" w:fill="FFFFFF"/>
              </w:rPr>
              <w:t>s</w:t>
            </w:r>
            <w:r w:rsidR="00762677">
              <w:rPr>
                <w:rFonts w:cs="Arial"/>
                <w:sz w:val="20"/>
                <w:shd w:val="clear" w:color="auto" w:fill="FFFFFF"/>
              </w:rPr>
              <w:t xml:space="preserve"> the following</w:t>
            </w:r>
            <w:r w:rsidR="00300E90">
              <w:rPr>
                <w:rFonts w:cs="Arial"/>
                <w:sz w:val="20"/>
                <w:shd w:val="clear" w:color="auto" w:fill="FFFFFF"/>
              </w:rPr>
              <w:t xml:space="preserve"> changes</w:t>
            </w:r>
            <w:r w:rsidR="00822335">
              <w:rPr>
                <w:rFonts w:cs="Arial"/>
                <w:sz w:val="20"/>
                <w:shd w:val="clear" w:color="auto" w:fill="FFFFFF"/>
              </w:rPr>
              <w:t>.</w:t>
            </w:r>
            <w:r w:rsidR="00762677" w:rsidRPr="00765B4B">
              <w:rPr>
                <w:rFonts w:cs="Arial"/>
                <w:sz w:val="20"/>
                <w:shd w:val="clear" w:color="auto" w:fill="FFFFFF"/>
              </w:rPr>
              <w:t xml:space="preserve"> </w:t>
            </w:r>
          </w:p>
          <w:p w14:paraId="73AC6F35" w14:textId="7D90B6FC" w:rsidR="00762677" w:rsidRDefault="00762677" w:rsidP="003239EB">
            <w:pPr>
              <w:pStyle w:val="SubmissionTable"/>
              <w:numPr>
                <w:ilvl w:val="0"/>
                <w:numId w:val="24"/>
              </w:numPr>
              <w:spacing w:before="0" w:after="0"/>
              <w:rPr>
                <w:rFonts w:cs="Arial"/>
                <w:sz w:val="20"/>
                <w:shd w:val="clear" w:color="auto" w:fill="FFFFFF"/>
              </w:rPr>
            </w:pPr>
            <w:r w:rsidRPr="00765B4B">
              <w:rPr>
                <w:rFonts w:cs="Arial"/>
                <w:sz w:val="20"/>
                <w:shd w:val="clear" w:color="auto" w:fill="FFFFFF"/>
              </w:rPr>
              <w:t xml:space="preserve">Drafting should take account of the Queensland heritage guideline for archival recording </w:t>
            </w:r>
            <w:r w:rsidR="00AA0AF8">
              <w:rPr>
                <w:rFonts w:cs="Arial"/>
                <w:sz w:val="20"/>
                <w:shd w:val="clear" w:color="auto" w:fill="FFFFFF"/>
              </w:rPr>
              <w:t>to</w:t>
            </w:r>
            <w:r w:rsidRPr="00765B4B">
              <w:rPr>
                <w:rFonts w:cs="Arial"/>
                <w:sz w:val="20"/>
                <w:shd w:val="clear" w:color="auto" w:fill="FFFFFF"/>
              </w:rPr>
              <w:t xml:space="preserve"> facilitate consistency </w:t>
            </w:r>
            <w:r w:rsidR="00AA0AF8">
              <w:rPr>
                <w:rFonts w:cs="Arial"/>
                <w:sz w:val="20"/>
                <w:shd w:val="clear" w:color="auto" w:fill="FFFFFF"/>
              </w:rPr>
              <w:t>in the</w:t>
            </w:r>
            <w:r w:rsidRPr="00765B4B">
              <w:rPr>
                <w:rFonts w:cs="Arial"/>
                <w:sz w:val="20"/>
                <w:shd w:val="clear" w:color="auto" w:fill="FFFFFF"/>
              </w:rPr>
              <w:t xml:space="preserve"> approach for archival recording over local and State heritage places.</w:t>
            </w:r>
          </w:p>
          <w:p w14:paraId="3933353F" w14:textId="683C1C06" w:rsidR="00762677" w:rsidRDefault="00762677" w:rsidP="003239EB">
            <w:pPr>
              <w:pStyle w:val="SubmissionTable"/>
              <w:numPr>
                <w:ilvl w:val="0"/>
                <w:numId w:val="24"/>
              </w:numPr>
              <w:spacing w:before="0" w:after="0"/>
              <w:rPr>
                <w:rFonts w:cs="Arial"/>
                <w:sz w:val="20"/>
                <w:shd w:val="clear" w:color="auto" w:fill="FFFFFF"/>
              </w:rPr>
            </w:pPr>
            <w:r w:rsidRPr="00187931">
              <w:rPr>
                <w:rFonts w:cs="Arial"/>
                <w:sz w:val="20"/>
                <w:shd w:val="clear" w:color="auto" w:fill="FFFFFF"/>
              </w:rPr>
              <w:t>Step 1 should be to prepare a scope of work covering the type of recording proposed, the typ</w:t>
            </w:r>
            <w:r w:rsidR="00AA0AF8">
              <w:rPr>
                <w:rFonts w:cs="Arial"/>
                <w:sz w:val="20"/>
                <w:shd w:val="clear" w:color="auto" w:fill="FFFFFF"/>
              </w:rPr>
              <w:t>e</w:t>
            </w:r>
            <w:r w:rsidRPr="00187931">
              <w:rPr>
                <w:rFonts w:cs="Arial"/>
                <w:sz w:val="20"/>
                <w:shd w:val="clear" w:color="auto" w:fill="FFFFFF"/>
              </w:rPr>
              <w:t xml:space="preserve"> of photos, inclusion of point cloud surveys or videos of machinery or processes, whether a hard copy file is required etc. This should then be negotiated, </w:t>
            </w:r>
            <w:proofErr w:type="gramStart"/>
            <w:r w:rsidRPr="00187931">
              <w:rPr>
                <w:rFonts w:cs="Arial"/>
                <w:sz w:val="20"/>
                <w:shd w:val="clear" w:color="auto" w:fill="FFFFFF"/>
              </w:rPr>
              <w:t>agreed</w:t>
            </w:r>
            <w:proofErr w:type="gramEnd"/>
            <w:r w:rsidRPr="00187931">
              <w:rPr>
                <w:rFonts w:cs="Arial"/>
                <w:sz w:val="20"/>
                <w:shd w:val="clear" w:color="auto" w:fill="FFFFFF"/>
              </w:rPr>
              <w:t xml:space="preserve"> and signed off by C</w:t>
            </w:r>
            <w:r w:rsidR="00425E6E">
              <w:rPr>
                <w:rFonts w:cs="Arial"/>
                <w:sz w:val="20"/>
                <w:shd w:val="clear" w:color="auto" w:fill="FFFFFF"/>
              </w:rPr>
              <w:t>ouncil</w:t>
            </w:r>
            <w:r w:rsidRPr="00187931">
              <w:rPr>
                <w:rFonts w:cs="Arial"/>
                <w:sz w:val="20"/>
                <w:shd w:val="clear" w:color="auto" w:fill="FFFFFF"/>
              </w:rPr>
              <w:t>.</w:t>
            </w:r>
          </w:p>
          <w:p w14:paraId="7C8E886D" w14:textId="126FE6DC" w:rsidR="00762677" w:rsidRPr="001A7C30" w:rsidRDefault="00762677" w:rsidP="003239EB">
            <w:pPr>
              <w:pStyle w:val="SubmissionTable"/>
              <w:numPr>
                <w:ilvl w:val="0"/>
                <w:numId w:val="24"/>
              </w:numPr>
              <w:spacing w:before="0" w:after="0"/>
              <w:rPr>
                <w:rFonts w:cs="Arial"/>
                <w:sz w:val="20"/>
                <w:shd w:val="clear" w:color="auto" w:fill="FFFFFF"/>
              </w:rPr>
            </w:pPr>
            <w:r w:rsidRPr="001A7C30">
              <w:rPr>
                <w:rFonts w:cs="Arial"/>
                <w:sz w:val="20"/>
                <w:shd w:val="clear" w:color="auto" w:fill="FFFFFF"/>
              </w:rPr>
              <w:t>Black and white photos are rarely used now, as high</w:t>
            </w:r>
            <w:r w:rsidR="004419FE">
              <w:rPr>
                <w:rFonts w:cs="Arial"/>
                <w:sz w:val="20"/>
                <w:shd w:val="clear" w:color="auto" w:fill="FFFFFF"/>
              </w:rPr>
              <w:noBreakHyphen/>
            </w:r>
            <w:r w:rsidRPr="001A7C30">
              <w:rPr>
                <w:rFonts w:cs="Arial"/>
                <w:sz w:val="20"/>
                <w:shd w:val="clear" w:color="auto" w:fill="FFFFFF"/>
              </w:rPr>
              <w:t xml:space="preserve">quality </w:t>
            </w:r>
            <w:proofErr w:type="spellStart"/>
            <w:r w:rsidRPr="001A7C30">
              <w:rPr>
                <w:rFonts w:cs="Arial"/>
                <w:sz w:val="20"/>
                <w:shd w:val="clear" w:color="auto" w:fill="FFFFFF"/>
              </w:rPr>
              <w:t>colour</w:t>
            </w:r>
            <w:proofErr w:type="spellEnd"/>
            <w:r w:rsidRPr="001A7C30">
              <w:rPr>
                <w:rFonts w:cs="Arial"/>
                <w:sz w:val="20"/>
                <w:shd w:val="clear" w:color="auto" w:fill="FFFFFF"/>
              </w:rPr>
              <w:t xml:space="preserve"> photos are available and printed material is also provided less as there are storage issues. Often, only digital files are required.</w:t>
            </w:r>
          </w:p>
          <w:p w14:paraId="0314B5F0" w14:textId="71889329" w:rsidR="00762677" w:rsidRDefault="00762677" w:rsidP="003239EB">
            <w:pPr>
              <w:pStyle w:val="SubmissionTable"/>
              <w:numPr>
                <w:ilvl w:val="0"/>
                <w:numId w:val="24"/>
              </w:numPr>
              <w:spacing w:before="0" w:after="0"/>
              <w:rPr>
                <w:rFonts w:cs="Arial"/>
                <w:sz w:val="20"/>
                <w:shd w:val="clear" w:color="auto" w:fill="FFFFFF"/>
              </w:rPr>
            </w:pPr>
            <w:r>
              <w:rPr>
                <w:rFonts w:cs="Arial"/>
                <w:sz w:val="20"/>
                <w:shd w:val="clear" w:color="auto" w:fill="FFFFFF"/>
              </w:rPr>
              <w:t>Define</w:t>
            </w:r>
            <w:r w:rsidRPr="00187931">
              <w:rPr>
                <w:rFonts w:cs="Arial"/>
                <w:sz w:val="20"/>
                <w:shd w:val="clear" w:color="auto" w:fill="FFFFFF"/>
              </w:rPr>
              <w:t xml:space="preserve"> the term "appropriately qualified heritage consultant"</w:t>
            </w:r>
            <w:r>
              <w:rPr>
                <w:rFonts w:cs="Arial"/>
                <w:sz w:val="20"/>
                <w:shd w:val="clear" w:color="auto" w:fill="FFFFFF"/>
              </w:rPr>
              <w:t>.</w:t>
            </w:r>
            <w:r w:rsidRPr="00187931">
              <w:rPr>
                <w:rFonts w:cs="Arial"/>
                <w:sz w:val="20"/>
                <w:shd w:val="clear" w:color="auto" w:fill="FFFFFF"/>
              </w:rPr>
              <w:t xml:space="preserve"> It could be defined as a Full International member of</w:t>
            </w:r>
            <w:r>
              <w:rPr>
                <w:rFonts w:cs="Arial"/>
                <w:sz w:val="20"/>
                <w:shd w:val="clear" w:color="auto" w:fill="FFFFFF"/>
              </w:rPr>
              <w:t xml:space="preserve"> </w:t>
            </w:r>
            <w:r w:rsidRPr="00187931">
              <w:rPr>
                <w:rFonts w:cs="Arial"/>
                <w:sz w:val="20"/>
                <w:shd w:val="clear" w:color="auto" w:fill="FFFFFF"/>
              </w:rPr>
              <w:t xml:space="preserve">Australia ICOMOS </w:t>
            </w:r>
            <w:r w:rsidR="00C518F1">
              <w:rPr>
                <w:rFonts w:cs="Arial"/>
                <w:sz w:val="20"/>
                <w:shd w:val="clear" w:color="auto" w:fill="FFFFFF"/>
              </w:rPr>
              <w:t xml:space="preserve">(International Council on Monuments and Sites) </w:t>
            </w:r>
            <w:r w:rsidRPr="00187931">
              <w:rPr>
                <w:rFonts w:cs="Arial"/>
                <w:sz w:val="20"/>
                <w:shd w:val="clear" w:color="auto" w:fill="FFFFFF"/>
              </w:rPr>
              <w:t>and further, if buildings are involved, the person should be a registered architect.</w:t>
            </w:r>
          </w:p>
          <w:p w14:paraId="61B3AEB8" w14:textId="25DD3B65" w:rsidR="00A94F07" w:rsidRPr="005439AF" w:rsidRDefault="00762677" w:rsidP="003239EB">
            <w:pPr>
              <w:pStyle w:val="SubmissionTable"/>
              <w:numPr>
                <w:ilvl w:val="0"/>
                <w:numId w:val="24"/>
              </w:numPr>
              <w:spacing w:before="0" w:after="0"/>
              <w:rPr>
                <w:rFonts w:cs="Arial"/>
                <w:sz w:val="20"/>
                <w:shd w:val="clear" w:color="auto" w:fill="FFFFFF"/>
              </w:rPr>
            </w:pPr>
            <w:r w:rsidRPr="00187931">
              <w:rPr>
                <w:rFonts w:cs="Arial"/>
                <w:sz w:val="20"/>
                <w:shd w:val="clear" w:color="auto" w:fill="FFFFFF"/>
              </w:rPr>
              <w:t>There should also be nomination of where the material is to be stored, such as C</w:t>
            </w:r>
            <w:r w:rsidR="00425E6E">
              <w:rPr>
                <w:rFonts w:cs="Arial"/>
                <w:sz w:val="20"/>
                <w:shd w:val="clear" w:color="auto" w:fill="FFFFFF"/>
              </w:rPr>
              <w:t>ouncil</w:t>
            </w:r>
            <w:r w:rsidRPr="00187931">
              <w:rPr>
                <w:rFonts w:cs="Arial"/>
                <w:sz w:val="20"/>
                <w:shd w:val="clear" w:color="auto" w:fill="FFFFFF"/>
              </w:rPr>
              <w:t xml:space="preserve"> archives,</w:t>
            </w:r>
            <w:r>
              <w:rPr>
                <w:rFonts w:cs="Arial"/>
                <w:sz w:val="20"/>
                <w:shd w:val="clear" w:color="auto" w:fill="FFFFFF"/>
              </w:rPr>
              <w:t xml:space="preserve"> </w:t>
            </w:r>
            <w:r w:rsidRPr="00187931">
              <w:rPr>
                <w:rFonts w:cs="Arial"/>
                <w:sz w:val="20"/>
                <w:shd w:val="clear" w:color="auto" w:fill="FFFFFF"/>
              </w:rPr>
              <w:t>C</w:t>
            </w:r>
            <w:r w:rsidR="00425E6E">
              <w:rPr>
                <w:rFonts w:cs="Arial"/>
                <w:sz w:val="20"/>
                <w:shd w:val="clear" w:color="auto" w:fill="FFFFFF"/>
              </w:rPr>
              <w:t>ouncil</w:t>
            </w:r>
            <w:r w:rsidRPr="00187931">
              <w:rPr>
                <w:rFonts w:cs="Arial"/>
                <w:sz w:val="20"/>
                <w:shd w:val="clear" w:color="auto" w:fill="FFFFFF"/>
              </w:rPr>
              <w:t xml:space="preserve"> project files and/or the local</w:t>
            </w:r>
            <w:r>
              <w:rPr>
                <w:rFonts w:cs="Arial"/>
                <w:sz w:val="20"/>
                <w:shd w:val="clear" w:color="auto" w:fill="FFFFFF"/>
              </w:rPr>
              <w:t xml:space="preserve"> </w:t>
            </w:r>
            <w:r w:rsidRPr="00187931">
              <w:rPr>
                <w:rFonts w:cs="Arial"/>
                <w:sz w:val="20"/>
                <w:shd w:val="clear" w:color="auto" w:fill="FFFFFF"/>
              </w:rPr>
              <w:t>history group.</w:t>
            </w:r>
          </w:p>
        </w:tc>
        <w:tc>
          <w:tcPr>
            <w:tcW w:w="5988" w:type="dxa"/>
            <w:shd w:val="clear" w:color="auto" w:fill="auto"/>
          </w:tcPr>
          <w:p w14:paraId="0EE03723" w14:textId="58A4150D" w:rsidR="00762677" w:rsidRDefault="00762677" w:rsidP="003239EB">
            <w:pPr>
              <w:spacing w:after="0"/>
            </w:pPr>
            <w:r>
              <w:t>Support noted</w:t>
            </w:r>
            <w:r w:rsidRPr="00661CC0">
              <w:t xml:space="preserve">. </w:t>
            </w:r>
          </w:p>
          <w:p w14:paraId="29C88A43" w14:textId="77777777" w:rsidR="00762677" w:rsidRPr="00661CC0" w:rsidRDefault="00762677" w:rsidP="003239EB">
            <w:pPr>
              <w:spacing w:after="0"/>
            </w:pPr>
          </w:p>
          <w:p w14:paraId="129ED829" w14:textId="77777777" w:rsidR="00762677" w:rsidRPr="00661CC0" w:rsidRDefault="00762677" w:rsidP="003239EB">
            <w:pPr>
              <w:spacing w:after="0"/>
            </w:pPr>
            <w:r w:rsidRPr="00661CC0">
              <w:t xml:space="preserve">The </w:t>
            </w:r>
            <w:r>
              <w:t>further changes suggested by the submitter have been considered and it is proposed to remove</w:t>
            </w:r>
            <w:r w:rsidRPr="00661CC0">
              <w:t xml:space="preserve"> references to State heritage places from </w:t>
            </w:r>
            <w:r>
              <w:t>Section 5 of the</w:t>
            </w:r>
            <w:r w:rsidRPr="00661CC0">
              <w:t xml:space="preserve"> Heritage </w:t>
            </w:r>
            <w:r>
              <w:t>PSP</w:t>
            </w:r>
            <w:r w:rsidRPr="00661CC0">
              <w:t xml:space="preserve"> and the Heritage overlay code where appropriate.</w:t>
            </w:r>
          </w:p>
          <w:p w14:paraId="72D76679" w14:textId="77777777" w:rsidR="00762677" w:rsidRDefault="00762677" w:rsidP="003239EB">
            <w:pPr>
              <w:spacing w:after="0"/>
            </w:pPr>
          </w:p>
          <w:p w14:paraId="4C831808" w14:textId="44089DAA" w:rsidR="00762677" w:rsidRDefault="00300E90" w:rsidP="003239EB">
            <w:pPr>
              <w:spacing w:after="0"/>
            </w:pPr>
            <w:r>
              <w:t>F</w:t>
            </w:r>
            <w:r w:rsidR="00762677">
              <w:t xml:space="preserve">urther </w:t>
            </w:r>
            <w:r w:rsidR="007A7991">
              <w:t>suggestions for</w:t>
            </w:r>
            <w:r w:rsidR="00724126">
              <w:t xml:space="preserve"> the Heritage PSP (7 Guidelines for archival recording of Local heritage places)</w:t>
            </w:r>
            <w:r w:rsidR="00762677">
              <w:t xml:space="preserve"> have been considered </w:t>
            </w:r>
            <w:r w:rsidR="0055015E">
              <w:t>and the</w:t>
            </w:r>
            <w:r w:rsidR="007A7991">
              <w:t xml:space="preserve"> following changes have been made</w:t>
            </w:r>
            <w:r w:rsidR="004419FE">
              <w:t>.</w:t>
            </w:r>
            <w:r w:rsidR="00762677">
              <w:t xml:space="preserve"> </w:t>
            </w:r>
          </w:p>
          <w:p w14:paraId="5C3DD048" w14:textId="22054C78" w:rsidR="00762677" w:rsidRPr="00661CC0" w:rsidRDefault="00762677" w:rsidP="003239EB">
            <w:pPr>
              <w:pStyle w:val="ListParagraph"/>
              <w:numPr>
                <w:ilvl w:val="0"/>
                <w:numId w:val="33"/>
              </w:numPr>
              <w:spacing w:after="0"/>
            </w:pPr>
            <w:r>
              <w:t>R</w:t>
            </w:r>
            <w:r w:rsidRPr="00661CC0">
              <w:t xml:space="preserve">eference to the Queensland Government’s Guideline: Archival Recording of Heritage Places has been </w:t>
            </w:r>
            <w:r w:rsidR="00316E00">
              <w:t>inserted</w:t>
            </w:r>
            <w:r w:rsidRPr="00661CC0">
              <w:t xml:space="preserve">. </w:t>
            </w:r>
          </w:p>
          <w:p w14:paraId="4A6C5124" w14:textId="4D9C993C" w:rsidR="00762677" w:rsidRPr="00661CC0" w:rsidRDefault="007A7991" w:rsidP="003239EB">
            <w:pPr>
              <w:pStyle w:val="ListParagraph"/>
              <w:numPr>
                <w:ilvl w:val="0"/>
                <w:numId w:val="33"/>
              </w:numPr>
              <w:spacing w:after="0"/>
            </w:pPr>
            <w:r>
              <w:t>Inclusion of</w:t>
            </w:r>
            <w:r w:rsidR="00762677" w:rsidRPr="00661CC0">
              <w:t xml:space="preserve"> an early step requiring the applicant to consult with Council to define and determine an agreed scope of work required for archival recording. </w:t>
            </w:r>
          </w:p>
          <w:p w14:paraId="17487A97" w14:textId="50217A02" w:rsidR="007A7991" w:rsidRDefault="007A7991" w:rsidP="003239EB">
            <w:pPr>
              <w:pStyle w:val="ListParagraph"/>
              <w:numPr>
                <w:ilvl w:val="0"/>
                <w:numId w:val="33"/>
              </w:numPr>
              <w:spacing w:after="0"/>
            </w:pPr>
            <w:r>
              <w:t>I</w:t>
            </w:r>
            <w:r w:rsidR="00762677" w:rsidRPr="00661CC0">
              <w:t>nclu</w:t>
            </w:r>
            <w:r>
              <w:t>sion of a</w:t>
            </w:r>
            <w:r w:rsidR="00762677" w:rsidRPr="00661CC0">
              <w:t xml:space="preserve"> reference to providing archival recordings in digital and printed formats (unless otherwise agreed to by Council) and reference to submission of high</w:t>
            </w:r>
            <w:r w:rsidR="0045556F">
              <w:t>-</w:t>
            </w:r>
            <w:r w:rsidR="00762677" w:rsidRPr="00661CC0">
              <w:t>resolution photographs.</w:t>
            </w:r>
          </w:p>
          <w:p w14:paraId="4542B57D" w14:textId="3EBB0BF6" w:rsidR="00762677" w:rsidRPr="00661CC0" w:rsidRDefault="007A7991" w:rsidP="003239EB">
            <w:pPr>
              <w:pStyle w:val="ListParagraph"/>
              <w:numPr>
                <w:ilvl w:val="0"/>
                <w:numId w:val="33"/>
              </w:numPr>
              <w:spacing w:after="0"/>
            </w:pPr>
            <w:r>
              <w:t>A</w:t>
            </w:r>
            <w:r w:rsidR="00762677">
              <w:t xml:space="preserve"> note</w:t>
            </w:r>
            <w:r>
              <w:t xml:space="preserve"> is included</w:t>
            </w:r>
            <w:r w:rsidR="00762677" w:rsidRPr="00661CC0">
              <w:t xml:space="preserve"> to clarify “appropriately qualified heritage consultant” in the Heritage </w:t>
            </w:r>
            <w:r w:rsidR="00762677">
              <w:t>PSP.</w:t>
            </w:r>
          </w:p>
        </w:tc>
        <w:tc>
          <w:tcPr>
            <w:tcW w:w="1565" w:type="dxa"/>
            <w:shd w:val="clear" w:color="auto" w:fill="auto"/>
          </w:tcPr>
          <w:p w14:paraId="2B3964C9" w14:textId="03307604" w:rsidR="00762677" w:rsidRPr="00C704C9" w:rsidRDefault="00762677" w:rsidP="002A1ABF">
            <w:pPr>
              <w:pStyle w:val="SubmissionTable"/>
              <w:spacing w:before="0" w:after="0"/>
              <w:rPr>
                <w:rFonts w:cs="Arial"/>
                <w:sz w:val="20"/>
                <w:lang w:val="en-AU"/>
              </w:rPr>
            </w:pPr>
            <w:r w:rsidRPr="00544CAF">
              <w:rPr>
                <w:rFonts w:cs="Arial"/>
                <w:sz w:val="20"/>
                <w:lang w:val="en-AU"/>
              </w:rPr>
              <w:t>Change</w:t>
            </w:r>
          </w:p>
        </w:tc>
      </w:tr>
    </w:tbl>
    <w:p w14:paraId="0150E19C" w14:textId="77777777" w:rsidR="00230441" w:rsidRPr="002A53B6" w:rsidRDefault="00230441" w:rsidP="002D0222">
      <w:pPr>
        <w:spacing w:after="0"/>
        <w:rPr>
          <w:rFonts w:cs="Arial"/>
          <w:lang w:val="en-AU"/>
        </w:rPr>
      </w:pPr>
    </w:p>
    <w:p w14:paraId="163890BA" w14:textId="2271C3DF" w:rsidR="006E150E" w:rsidRDefault="00781DA5" w:rsidP="002D0222">
      <w:pPr>
        <w:pStyle w:val="Heading3"/>
        <w:spacing w:after="0"/>
      </w:pPr>
      <w:bookmarkStart w:id="19" w:name="_Toc117175567"/>
      <w:r w:rsidRPr="00693401">
        <w:lastRenderedPageBreak/>
        <w:t>3.</w:t>
      </w:r>
      <w:r w:rsidR="00100C7D">
        <w:t>6</w:t>
      </w:r>
      <w:r w:rsidR="00CB51D5" w:rsidRPr="00693401">
        <w:tab/>
      </w:r>
      <w:r w:rsidR="00341E45" w:rsidRPr="00693401">
        <w:t>Out of scope</w:t>
      </w:r>
      <w:bookmarkEnd w:id="19"/>
    </w:p>
    <w:p w14:paraId="0173FB30" w14:textId="77777777" w:rsidR="003239EB" w:rsidRPr="003239EB" w:rsidRDefault="003239EB" w:rsidP="003239EB">
      <w:pPr>
        <w:spacing w:after="0"/>
      </w:pPr>
    </w:p>
    <w:tbl>
      <w:tblPr>
        <w:tblW w:w="147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1672"/>
        <w:gridCol w:w="5669"/>
        <w:gridCol w:w="5842"/>
        <w:gridCol w:w="1528"/>
      </w:tblGrid>
      <w:tr w:rsidR="006E150E" w:rsidRPr="002A53B6" w14:paraId="7D9751B7" w14:textId="77777777" w:rsidTr="00822335">
        <w:trPr>
          <w:trHeight w:val="58"/>
          <w:tblHeader/>
        </w:trPr>
        <w:tc>
          <w:tcPr>
            <w:tcW w:w="1672" w:type="dxa"/>
            <w:shd w:val="clear" w:color="auto" w:fill="D9D9D9" w:themeFill="background1" w:themeFillShade="D9"/>
            <w:noWrap/>
          </w:tcPr>
          <w:p w14:paraId="11BCD2B7" w14:textId="77777777" w:rsidR="006E150E" w:rsidRPr="002A53B6" w:rsidRDefault="006E150E" w:rsidP="005A405B">
            <w:pPr>
              <w:pStyle w:val="SubmissionTableHeadingBold"/>
              <w:spacing w:before="0" w:after="0"/>
              <w:rPr>
                <w:rFonts w:cs="Arial"/>
                <w:sz w:val="20"/>
                <w:lang w:val="en-AU"/>
              </w:rPr>
            </w:pPr>
            <w:r w:rsidRPr="002A53B6">
              <w:rPr>
                <w:rFonts w:cs="Arial"/>
                <w:sz w:val="20"/>
                <w:lang w:val="en-AU"/>
              </w:rPr>
              <w:t>Submission Reference</w:t>
            </w:r>
          </w:p>
        </w:tc>
        <w:tc>
          <w:tcPr>
            <w:tcW w:w="5669" w:type="dxa"/>
            <w:shd w:val="clear" w:color="auto" w:fill="D9D9D9" w:themeFill="background1" w:themeFillShade="D9"/>
          </w:tcPr>
          <w:p w14:paraId="13EC62B1" w14:textId="77777777" w:rsidR="006E150E" w:rsidRPr="002A53B6" w:rsidRDefault="006E150E" w:rsidP="002D0222">
            <w:pPr>
              <w:pStyle w:val="SubmissionTableHeadingBold"/>
              <w:spacing w:before="0" w:after="0"/>
              <w:rPr>
                <w:rFonts w:cs="Arial"/>
                <w:sz w:val="20"/>
                <w:lang w:val="en-AU"/>
              </w:rPr>
            </w:pPr>
            <w:r w:rsidRPr="002A53B6">
              <w:rPr>
                <w:rFonts w:cs="Arial"/>
                <w:sz w:val="20"/>
                <w:lang w:val="en-AU"/>
              </w:rPr>
              <w:t>Submission Summary</w:t>
            </w:r>
          </w:p>
        </w:tc>
        <w:tc>
          <w:tcPr>
            <w:tcW w:w="5842" w:type="dxa"/>
            <w:shd w:val="clear" w:color="auto" w:fill="D9D9D9" w:themeFill="background1" w:themeFillShade="D9"/>
          </w:tcPr>
          <w:p w14:paraId="6E92DA38" w14:textId="77777777" w:rsidR="006E150E" w:rsidRPr="002A53B6" w:rsidRDefault="006E150E" w:rsidP="002D0222">
            <w:pPr>
              <w:pStyle w:val="SubmissionTableHeadingBold"/>
              <w:spacing w:before="0" w:after="0"/>
              <w:rPr>
                <w:rFonts w:cs="Arial"/>
                <w:sz w:val="20"/>
                <w:lang w:val="en-AU"/>
              </w:rPr>
            </w:pPr>
            <w:r w:rsidRPr="002A53B6">
              <w:rPr>
                <w:rFonts w:cs="Arial"/>
                <w:sz w:val="20"/>
                <w:lang w:val="en-AU"/>
              </w:rPr>
              <w:t>Response</w:t>
            </w:r>
          </w:p>
        </w:tc>
        <w:tc>
          <w:tcPr>
            <w:tcW w:w="1528" w:type="dxa"/>
            <w:shd w:val="clear" w:color="auto" w:fill="D9D9D9" w:themeFill="background1" w:themeFillShade="D9"/>
          </w:tcPr>
          <w:p w14:paraId="12CA7FD9" w14:textId="77777777" w:rsidR="006E150E" w:rsidRPr="002A53B6" w:rsidRDefault="006E150E" w:rsidP="002A1ABF">
            <w:pPr>
              <w:pStyle w:val="SubmissionTableHeadingBold"/>
              <w:spacing w:before="0" w:after="0"/>
              <w:rPr>
                <w:rFonts w:cs="Arial"/>
                <w:sz w:val="20"/>
                <w:lang w:val="en-AU"/>
              </w:rPr>
            </w:pPr>
            <w:r w:rsidRPr="002A53B6">
              <w:rPr>
                <w:rFonts w:cs="Arial"/>
                <w:sz w:val="20"/>
                <w:lang w:val="en-AU"/>
              </w:rPr>
              <w:t>Change required</w:t>
            </w:r>
          </w:p>
        </w:tc>
      </w:tr>
      <w:tr w:rsidR="00EE0948" w:rsidRPr="002A53B6" w14:paraId="0CDB6142" w14:textId="77777777" w:rsidTr="00822335">
        <w:trPr>
          <w:trHeight w:val="58"/>
        </w:trPr>
        <w:tc>
          <w:tcPr>
            <w:tcW w:w="1672" w:type="dxa"/>
            <w:shd w:val="clear" w:color="auto" w:fill="auto"/>
            <w:noWrap/>
          </w:tcPr>
          <w:p w14:paraId="67383B7A" w14:textId="2E6C4316" w:rsidR="00EE0948" w:rsidRPr="002A53B6" w:rsidRDefault="00EE0948" w:rsidP="007A68BE">
            <w:pPr>
              <w:pStyle w:val="SubmissionTable"/>
              <w:spacing w:before="0" w:after="0"/>
              <w:rPr>
                <w:rFonts w:cs="Arial"/>
                <w:sz w:val="20"/>
                <w:lang w:val="en-AU"/>
              </w:rPr>
            </w:pPr>
            <w:r w:rsidRPr="002A53B6">
              <w:rPr>
                <w:rFonts w:cs="Arial"/>
                <w:sz w:val="20"/>
                <w:lang w:val="en-AU"/>
              </w:rPr>
              <w:t>MK-017</w:t>
            </w:r>
          </w:p>
        </w:tc>
        <w:tc>
          <w:tcPr>
            <w:tcW w:w="5669" w:type="dxa"/>
            <w:shd w:val="clear" w:color="auto" w:fill="auto"/>
          </w:tcPr>
          <w:p w14:paraId="373A6D11" w14:textId="75FF0289" w:rsidR="000D3E93" w:rsidRPr="002A53B6" w:rsidRDefault="0080359C" w:rsidP="0045556F">
            <w:pPr>
              <w:pStyle w:val="SubmissionTable"/>
              <w:spacing w:before="0" w:after="0"/>
              <w:rPr>
                <w:rFonts w:cs="Arial"/>
                <w:sz w:val="20"/>
                <w:lang w:val="en-AU"/>
              </w:rPr>
            </w:pPr>
            <w:r>
              <w:rPr>
                <w:rFonts w:cs="Arial"/>
                <w:sz w:val="20"/>
                <w:lang w:val="en-AU"/>
              </w:rPr>
              <w:t>The s</w:t>
            </w:r>
            <w:r w:rsidR="000D3E93" w:rsidRPr="002A53B6">
              <w:rPr>
                <w:rFonts w:cs="Arial"/>
                <w:sz w:val="20"/>
                <w:lang w:val="en-AU"/>
              </w:rPr>
              <w:t xml:space="preserve">ubmitter requests </w:t>
            </w:r>
            <w:r w:rsidR="000A1CC7">
              <w:rPr>
                <w:rFonts w:cs="Arial"/>
                <w:sz w:val="20"/>
                <w:lang w:val="en-AU"/>
              </w:rPr>
              <w:t>re</w:t>
            </w:r>
            <w:r w:rsidR="000D3E93" w:rsidRPr="002A53B6">
              <w:rPr>
                <w:rFonts w:cs="Arial"/>
                <w:sz w:val="20"/>
                <w:lang w:val="en-AU"/>
              </w:rPr>
              <w:t>zoning of 31 Vauxhall Street, Virginia</w:t>
            </w:r>
            <w:r w:rsidR="000A1CC7">
              <w:rPr>
                <w:rFonts w:cs="Arial"/>
                <w:sz w:val="20"/>
                <w:lang w:val="en-AU"/>
              </w:rPr>
              <w:t>, from</w:t>
            </w:r>
            <w:r w:rsidR="00045324">
              <w:rPr>
                <w:rFonts w:cs="Arial"/>
                <w:sz w:val="20"/>
                <w:lang w:val="en-AU"/>
              </w:rPr>
              <w:t xml:space="preserve"> the</w:t>
            </w:r>
            <w:r w:rsidR="000A1CC7">
              <w:rPr>
                <w:rFonts w:cs="Arial"/>
                <w:sz w:val="20"/>
                <w:lang w:val="en-AU"/>
              </w:rPr>
              <w:t xml:space="preserve"> </w:t>
            </w:r>
            <w:proofErr w:type="gramStart"/>
            <w:r w:rsidR="000A1CC7" w:rsidRPr="002A53B6">
              <w:rPr>
                <w:rFonts w:cs="Arial"/>
                <w:sz w:val="20"/>
                <w:lang w:val="en-AU"/>
              </w:rPr>
              <w:t>Industry</w:t>
            </w:r>
            <w:proofErr w:type="gramEnd"/>
            <w:r w:rsidR="000A1CC7" w:rsidRPr="002A53B6">
              <w:rPr>
                <w:rFonts w:cs="Arial"/>
                <w:sz w:val="20"/>
                <w:lang w:val="en-AU"/>
              </w:rPr>
              <w:t xml:space="preserve"> investigation</w:t>
            </w:r>
            <w:r w:rsidR="00045324">
              <w:rPr>
                <w:rFonts w:cs="Arial"/>
                <w:sz w:val="20"/>
                <w:lang w:val="en-AU"/>
              </w:rPr>
              <w:t xml:space="preserve"> zone</w:t>
            </w:r>
            <w:r w:rsidR="000D3E93" w:rsidRPr="002A53B6">
              <w:rPr>
                <w:rFonts w:cs="Arial"/>
                <w:sz w:val="20"/>
                <w:lang w:val="en-AU"/>
              </w:rPr>
              <w:t xml:space="preserve"> to the Industry </w:t>
            </w:r>
            <w:r w:rsidR="00045324">
              <w:rPr>
                <w:rFonts w:cs="Arial"/>
                <w:sz w:val="20"/>
                <w:lang w:val="en-AU"/>
              </w:rPr>
              <w:t>z</w:t>
            </w:r>
            <w:r w:rsidR="000D3E93" w:rsidRPr="002A53B6">
              <w:rPr>
                <w:rFonts w:cs="Arial"/>
                <w:sz w:val="20"/>
                <w:lang w:val="en-AU"/>
              </w:rPr>
              <w:t>one (General industry B zone precinct) for the following reasons</w:t>
            </w:r>
            <w:r w:rsidR="00822335">
              <w:rPr>
                <w:rFonts w:cs="Arial"/>
                <w:sz w:val="20"/>
                <w:lang w:val="en-AU"/>
              </w:rPr>
              <w:t>.</w:t>
            </w:r>
          </w:p>
          <w:p w14:paraId="5776E5FD" w14:textId="77C816E1" w:rsidR="000D3E93" w:rsidRPr="002A53B6" w:rsidRDefault="000D3E93" w:rsidP="0045556F">
            <w:pPr>
              <w:pStyle w:val="SubmissionTable"/>
              <w:numPr>
                <w:ilvl w:val="0"/>
                <w:numId w:val="7"/>
              </w:numPr>
              <w:spacing w:before="0" w:after="0"/>
              <w:rPr>
                <w:rFonts w:cs="Arial"/>
                <w:sz w:val="20"/>
                <w:lang w:val="en-AU"/>
              </w:rPr>
            </w:pPr>
            <w:r w:rsidRPr="002A53B6">
              <w:rPr>
                <w:rFonts w:cs="Arial"/>
                <w:sz w:val="20"/>
                <w:lang w:val="en-AU"/>
              </w:rPr>
              <w:t xml:space="preserve">The site is within </w:t>
            </w:r>
            <w:r w:rsidR="00140A69">
              <w:rPr>
                <w:rFonts w:cs="Arial"/>
                <w:sz w:val="20"/>
                <w:lang w:val="en-AU"/>
              </w:rPr>
              <w:t>a</w:t>
            </w:r>
            <w:r w:rsidRPr="002A53B6">
              <w:rPr>
                <w:rFonts w:cs="Arial"/>
                <w:sz w:val="20"/>
                <w:lang w:val="en-AU"/>
              </w:rPr>
              <w:t xml:space="preserve"> well-established industrial cluster in Virginia, and is an isolated Industry investigation zoned parcel, flanked on either side by properties in the </w:t>
            </w:r>
            <w:proofErr w:type="gramStart"/>
            <w:r w:rsidRPr="002A53B6">
              <w:rPr>
                <w:rFonts w:cs="Arial"/>
                <w:sz w:val="20"/>
                <w:lang w:val="en-AU"/>
              </w:rPr>
              <w:t>Industry</w:t>
            </w:r>
            <w:proofErr w:type="gramEnd"/>
            <w:r w:rsidRPr="002A53B6">
              <w:rPr>
                <w:rFonts w:cs="Arial"/>
                <w:sz w:val="20"/>
                <w:lang w:val="en-AU"/>
              </w:rPr>
              <w:t xml:space="preserve"> zone.</w:t>
            </w:r>
          </w:p>
          <w:p w14:paraId="0761F953" w14:textId="23EF280C" w:rsidR="000D3E93" w:rsidRPr="002A53B6" w:rsidRDefault="000D3E93" w:rsidP="0045556F">
            <w:pPr>
              <w:pStyle w:val="SubmissionTable"/>
              <w:numPr>
                <w:ilvl w:val="0"/>
                <w:numId w:val="7"/>
              </w:numPr>
              <w:spacing w:before="0" w:after="0"/>
              <w:rPr>
                <w:rFonts w:cs="Arial"/>
                <w:sz w:val="20"/>
                <w:lang w:val="en-AU"/>
              </w:rPr>
            </w:pPr>
            <w:r w:rsidRPr="002A53B6">
              <w:rPr>
                <w:rFonts w:cs="Arial"/>
                <w:sz w:val="20"/>
                <w:lang w:val="en-AU"/>
              </w:rPr>
              <w:t>A timber warehouse and lower impact business uses are located to the east and west of the premises and generally align with activities anticipated within the General industry B zone precinct, which is the predominant zone precinct on the southern side of Vauxhall Street.</w:t>
            </w:r>
          </w:p>
          <w:p w14:paraId="54A69388" w14:textId="491D8651" w:rsidR="000D3E93" w:rsidRPr="002A53B6" w:rsidRDefault="000D3E93" w:rsidP="0045556F">
            <w:pPr>
              <w:pStyle w:val="SubmissionTable"/>
              <w:numPr>
                <w:ilvl w:val="0"/>
                <w:numId w:val="8"/>
              </w:numPr>
              <w:spacing w:before="0" w:after="0"/>
              <w:rPr>
                <w:rFonts w:cs="Arial"/>
                <w:sz w:val="20"/>
                <w:lang w:val="en-AU"/>
              </w:rPr>
            </w:pPr>
            <w:r w:rsidRPr="002A53B6">
              <w:rPr>
                <w:rFonts w:cs="Arial"/>
                <w:sz w:val="20"/>
                <w:lang w:val="en-AU"/>
              </w:rPr>
              <w:t xml:space="preserve">The site has been used for industrial activity for </w:t>
            </w:r>
            <w:proofErr w:type="gramStart"/>
            <w:r w:rsidRPr="002A53B6">
              <w:rPr>
                <w:rFonts w:cs="Arial"/>
                <w:sz w:val="20"/>
                <w:lang w:val="en-AU"/>
              </w:rPr>
              <w:t>a number of</w:t>
            </w:r>
            <w:proofErr w:type="gramEnd"/>
            <w:r w:rsidRPr="002A53B6">
              <w:rPr>
                <w:rFonts w:cs="Arial"/>
                <w:sz w:val="20"/>
                <w:lang w:val="en-AU"/>
              </w:rPr>
              <w:t xml:space="preserve"> years and features a historic residential building that was recently used as a caretaker’s residence, and office for an approved outdoor storage and industry business. </w:t>
            </w:r>
          </w:p>
          <w:p w14:paraId="734E9427" w14:textId="5D88D903" w:rsidR="00A94F07" w:rsidRPr="005439AF" w:rsidRDefault="000D3E93" w:rsidP="0045556F">
            <w:pPr>
              <w:pStyle w:val="SubmissionTable"/>
              <w:numPr>
                <w:ilvl w:val="0"/>
                <w:numId w:val="8"/>
              </w:numPr>
              <w:spacing w:before="0" w:after="0"/>
              <w:rPr>
                <w:rFonts w:cs="Arial"/>
                <w:sz w:val="20"/>
                <w:lang w:val="en-AU"/>
              </w:rPr>
            </w:pPr>
            <w:r w:rsidRPr="002A53B6">
              <w:rPr>
                <w:rFonts w:cs="Arial"/>
                <w:sz w:val="20"/>
                <w:lang w:val="en-AU"/>
              </w:rPr>
              <w:t>On 26 May 2021</w:t>
            </w:r>
            <w:r w:rsidR="00CD2D54">
              <w:rPr>
                <w:rFonts w:cs="Arial"/>
                <w:sz w:val="20"/>
                <w:lang w:val="en-AU"/>
              </w:rPr>
              <w:t>,</w:t>
            </w:r>
            <w:r w:rsidRPr="002A53B6">
              <w:rPr>
                <w:rFonts w:cs="Arial"/>
                <w:sz w:val="20"/>
                <w:lang w:val="en-AU"/>
              </w:rPr>
              <w:t xml:space="preserve"> a Development Permit was issued for Low </w:t>
            </w:r>
            <w:r w:rsidR="00CD2D54">
              <w:rPr>
                <w:rFonts w:cs="Arial"/>
                <w:sz w:val="20"/>
                <w:lang w:val="en-AU"/>
              </w:rPr>
              <w:t>i</w:t>
            </w:r>
            <w:r w:rsidRPr="002A53B6">
              <w:rPr>
                <w:rFonts w:cs="Arial"/>
                <w:sz w:val="20"/>
                <w:lang w:val="en-AU"/>
              </w:rPr>
              <w:t xml:space="preserve">mpact </w:t>
            </w:r>
            <w:r w:rsidR="00CD2D54">
              <w:rPr>
                <w:rFonts w:cs="Arial"/>
                <w:sz w:val="20"/>
                <w:lang w:val="en-AU"/>
              </w:rPr>
              <w:t>i</w:t>
            </w:r>
            <w:r w:rsidRPr="002A53B6">
              <w:rPr>
                <w:rFonts w:cs="Arial"/>
                <w:sz w:val="20"/>
                <w:lang w:val="en-AU"/>
              </w:rPr>
              <w:t>ndustry and Warehouse uses over the site, involving the development of a new industrial building and car park (Council Reference A005624432), and construction is currently in progress.</w:t>
            </w:r>
          </w:p>
        </w:tc>
        <w:tc>
          <w:tcPr>
            <w:tcW w:w="5842" w:type="dxa"/>
            <w:shd w:val="clear" w:color="auto" w:fill="auto"/>
          </w:tcPr>
          <w:p w14:paraId="34015618" w14:textId="243606FB" w:rsidR="001C3C44" w:rsidRDefault="001C3C44" w:rsidP="002D0222">
            <w:pPr>
              <w:tabs>
                <w:tab w:val="left" w:pos="1185"/>
              </w:tabs>
              <w:spacing w:after="0"/>
              <w:rPr>
                <w:rFonts w:cs="Arial"/>
                <w:lang w:val="en-AU"/>
              </w:rPr>
            </w:pPr>
            <w:r w:rsidRPr="002A53B6">
              <w:rPr>
                <w:rFonts w:cs="Arial"/>
                <w:lang w:val="en-AU"/>
              </w:rPr>
              <w:t xml:space="preserve">The request is not within the scope of the amendment. There are no proposed changes </w:t>
            </w:r>
            <w:r w:rsidR="003B133E">
              <w:rPr>
                <w:rFonts w:cs="Arial"/>
                <w:lang w:val="en-AU"/>
              </w:rPr>
              <w:t xml:space="preserve">in Major amendment package K </w:t>
            </w:r>
            <w:r w:rsidRPr="002A53B6">
              <w:rPr>
                <w:rFonts w:cs="Arial"/>
                <w:lang w:val="en-AU"/>
              </w:rPr>
              <w:t>to the location</w:t>
            </w:r>
            <w:r w:rsidR="003B133E">
              <w:rPr>
                <w:rFonts w:cs="Arial"/>
                <w:lang w:val="en-AU"/>
              </w:rPr>
              <w:t xml:space="preserve"> reference in this submission</w:t>
            </w:r>
            <w:r w:rsidRPr="002A53B6">
              <w:rPr>
                <w:rFonts w:cs="Arial"/>
                <w:lang w:val="en-AU"/>
              </w:rPr>
              <w:t>.</w:t>
            </w:r>
          </w:p>
          <w:p w14:paraId="3D7483E1" w14:textId="77777777" w:rsidR="00877C4E" w:rsidRPr="002A53B6" w:rsidRDefault="00877C4E" w:rsidP="002D0222">
            <w:pPr>
              <w:tabs>
                <w:tab w:val="left" w:pos="1185"/>
              </w:tabs>
              <w:spacing w:after="0"/>
              <w:rPr>
                <w:rFonts w:cs="Arial"/>
                <w:lang w:val="en-AU"/>
              </w:rPr>
            </w:pPr>
          </w:p>
          <w:p w14:paraId="28969E65" w14:textId="2F5278CB" w:rsidR="00EE0948" w:rsidRPr="002A53B6" w:rsidRDefault="001C3C44" w:rsidP="002D0222">
            <w:pPr>
              <w:tabs>
                <w:tab w:val="left" w:pos="1185"/>
              </w:tabs>
              <w:spacing w:after="0"/>
              <w:rPr>
                <w:rFonts w:cs="Arial"/>
                <w:lang w:val="en-AU"/>
              </w:rPr>
            </w:pPr>
            <w:r>
              <w:rPr>
                <w:rFonts w:cs="Arial"/>
                <w:lang w:val="en-AU"/>
              </w:rPr>
              <w:t>31 Vauxhall Street, Virginia</w:t>
            </w:r>
            <w:r w:rsidR="0045556F">
              <w:rPr>
                <w:rFonts w:cs="Arial"/>
                <w:lang w:val="en-AU"/>
              </w:rPr>
              <w:t>,</w:t>
            </w:r>
            <w:r w:rsidRPr="002A53B6">
              <w:rPr>
                <w:rFonts w:cs="Arial"/>
                <w:lang w:val="en-AU"/>
              </w:rPr>
              <w:t xml:space="preserve"> will be investigated for possible future </w:t>
            </w:r>
            <w:r>
              <w:rPr>
                <w:rFonts w:cs="Arial"/>
                <w:lang w:val="en-AU"/>
              </w:rPr>
              <w:t>zoning amendments</w:t>
            </w:r>
            <w:r w:rsidR="00CD2D54">
              <w:rPr>
                <w:rFonts w:cs="Arial"/>
                <w:lang w:val="en-AU"/>
              </w:rPr>
              <w:t xml:space="preserve"> as part of a potential future amendment to reflect an enacted development approval</w:t>
            </w:r>
            <w:r>
              <w:rPr>
                <w:rFonts w:cs="Arial"/>
                <w:lang w:val="en-AU"/>
              </w:rPr>
              <w:t>.</w:t>
            </w:r>
          </w:p>
        </w:tc>
        <w:tc>
          <w:tcPr>
            <w:tcW w:w="1528" w:type="dxa"/>
            <w:shd w:val="clear" w:color="auto" w:fill="auto"/>
          </w:tcPr>
          <w:p w14:paraId="354756D8" w14:textId="200F61F9" w:rsidR="00EE0948" w:rsidRPr="002A53B6" w:rsidRDefault="00EB6BEF" w:rsidP="007A68BE">
            <w:pPr>
              <w:pStyle w:val="SubmissionTable"/>
              <w:spacing w:before="0" w:after="0"/>
              <w:rPr>
                <w:rFonts w:cs="Arial"/>
                <w:sz w:val="20"/>
                <w:lang w:val="en-AU"/>
              </w:rPr>
            </w:pPr>
            <w:r w:rsidRPr="002A53B6">
              <w:rPr>
                <w:rFonts w:cs="Arial"/>
                <w:sz w:val="20"/>
                <w:lang w:val="en-AU"/>
              </w:rPr>
              <w:t>No change</w:t>
            </w:r>
          </w:p>
        </w:tc>
      </w:tr>
      <w:tr w:rsidR="00D757D5" w:rsidRPr="002A53B6" w14:paraId="61B52C97" w14:textId="77777777" w:rsidTr="00822335">
        <w:trPr>
          <w:trHeight w:val="58"/>
        </w:trPr>
        <w:tc>
          <w:tcPr>
            <w:tcW w:w="1672" w:type="dxa"/>
            <w:shd w:val="clear" w:color="auto" w:fill="auto"/>
            <w:noWrap/>
          </w:tcPr>
          <w:p w14:paraId="63D61C8F" w14:textId="5274263C" w:rsidR="00D757D5" w:rsidRPr="002A53B6" w:rsidRDefault="00D757D5" w:rsidP="007A68BE">
            <w:pPr>
              <w:pStyle w:val="SubmissionTable"/>
              <w:spacing w:before="0" w:after="0"/>
              <w:rPr>
                <w:rFonts w:cs="Arial"/>
                <w:sz w:val="20"/>
                <w:lang w:val="en-AU"/>
              </w:rPr>
            </w:pPr>
            <w:r w:rsidRPr="002A53B6">
              <w:rPr>
                <w:rFonts w:cs="Arial"/>
                <w:sz w:val="20"/>
                <w:lang w:val="en-AU"/>
              </w:rPr>
              <w:t>MK-019</w:t>
            </w:r>
          </w:p>
        </w:tc>
        <w:tc>
          <w:tcPr>
            <w:tcW w:w="5669" w:type="dxa"/>
            <w:shd w:val="clear" w:color="auto" w:fill="auto"/>
          </w:tcPr>
          <w:p w14:paraId="28128AB8" w14:textId="60B6F26F" w:rsidR="00D757D5" w:rsidRPr="002A53B6" w:rsidRDefault="0080359C" w:rsidP="0045556F">
            <w:pPr>
              <w:pStyle w:val="SubmissionTable"/>
              <w:spacing w:before="0" w:after="0"/>
              <w:rPr>
                <w:rFonts w:cs="Arial"/>
                <w:sz w:val="20"/>
                <w:lang w:val="en-AU"/>
              </w:rPr>
            </w:pPr>
            <w:r>
              <w:rPr>
                <w:rFonts w:cs="Arial"/>
                <w:sz w:val="20"/>
                <w:shd w:val="clear" w:color="auto" w:fill="FFFFFF"/>
              </w:rPr>
              <w:t>The s</w:t>
            </w:r>
            <w:r w:rsidR="005D2641" w:rsidRPr="002A53B6">
              <w:rPr>
                <w:rFonts w:cs="Arial"/>
                <w:sz w:val="20"/>
                <w:shd w:val="clear" w:color="auto" w:fill="FFFFFF"/>
              </w:rPr>
              <w:t xml:space="preserve">ubmitter cannot see where the Queensland Government's new regulatory koala habitat maps for </w:t>
            </w:r>
            <w:proofErr w:type="gramStart"/>
            <w:r w:rsidR="005D2641" w:rsidRPr="002A53B6">
              <w:rPr>
                <w:rFonts w:cs="Arial"/>
                <w:sz w:val="20"/>
                <w:shd w:val="clear" w:color="auto" w:fill="FFFFFF"/>
              </w:rPr>
              <w:t>South East</w:t>
            </w:r>
            <w:proofErr w:type="gramEnd"/>
            <w:r w:rsidR="005D2641" w:rsidRPr="002A53B6">
              <w:rPr>
                <w:rFonts w:cs="Arial"/>
                <w:sz w:val="20"/>
                <w:shd w:val="clear" w:color="auto" w:fill="FFFFFF"/>
              </w:rPr>
              <w:t xml:space="preserve"> Queensland have been incorporated into City Plan, including in Upper Kedron. It is important that City Plan reflects critical </w:t>
            </w:r>
            <w:r w:rsidR="00874E56" w:rsidRPr="002A53B6">
              <w:rPr>
                <w:rFonts w:cs="Arial"/>
                <w:sz w:val="20"/>
                <w:shd w:val="clear" w:color="auto" w:fill="FFFFFF"/>
              </w:rPr>
              <w:t>biodiversity</w:t>
            </w:r>
            <w:r w:rsidR="005D2641" w:rsidRPr="002A53B6">
              <w:rPr>
                <w:rFonts w:cs="Arial"/>
                <w:sz w:val="20"/>
                <w:shd w:val="clear" w:color="auto" w:fill="FFFFFF"/>
              </w:rPr>
              <w:t xml:space="preserve"> overlays accurately.</w:t>
            </w:r>
          </w:p>
        </w:tc>
        <w:tc>
          <w:tcPr>
            <w:tcW w:w="5842" w:type="dxa"/>
            <w:shd w:val="clear" w:color="auto" w:fill="auto"/>
          </w:tcPr>
          <w:p w14:paraId="659AC8C5" w14:textId="7AF5610F" w:rsidR="0080359C" w:rsidRDefault="0080359C" w:rsidP="002D0222">
            <w:pPr>
              <w:tabs>
                <w:tab w:val="left" w:pos="1185"/>
              </w:tabs>
              <w:spacing w:after="0"/>
              <w:rPr>
                <w:rFonts w:cs="Arial"/>
                <w:color w:val="000000"/>
                <w:shd w:val="clear" w:color="auto" w:fill="FFFFFF"/>
              </w:rPr>
            </w:pPr>
            <w:r>
              <w:rPr>
                <w:rFonts w:cs="Arial"/>
                <w:color w:val="000000"/>
                <w:shd w:val="clear" w:color="auto" w:fill="FFFFFF"/>
              </w:rPr>
              <w:t xml:space="preserve">This request is not within the scope of the amendment. </w:t>
            </w:r>
          </w:p>
          <w:p w14:paraId="32996A25" w14:textId="77777777" w:rsidR="0080359C" w:rsidRDefault="0080359C" w:rsidP="002D0222">
            <w:pPr>
              <w:tabs>
                <w:tab w:val="left" w:pos="1185"/>
              </w:tabs>
              <w:spacing w:after="0"/>
              <w:rPr>
                <w:rFonts w:cs="Arial"/>
                <w:color w:val="000000"/>
                <w:shd w:val="clear" w:color="auto" w:fill="FFFFFF"/>
              </w:rPr>
            </w:pPr>
          </w:p>
          <w:p w14:paraId="62A6ED2C" w14:textId="19762CA1" w:rsidR="00CD2D54" w:rsidRDefault="005D2641" w:rsidP="002D0222">
            <w:pPr>
              <w:tabs>
                <w:tab w:val="left" w:pos="1185"/>
              </w:tabs>
              <w:spacing w:after="0"/>
              <w:rPr>
                <w:rFonts w:cs="Arial"/>
                <w:color w:val="000000"/>
                <w:shd w:val="clear" w:color="auto" w:fill="FFFFFF"/>
              </w:rPr>
            </w:pPr>
            <w:r w:rsidRPr="002A53B6">
              <w:rPr>
                <w:rFonts w:cs="Arial"/>
                <w:color w:val="000000"/>
                <w:shd w:val="clear" w:color="auto" w:fill="FFFFFF"/>
              </w:rPr>
              <w:t xml:space="preserve">The Queensland Government adopted major reforms to the planning framework in February 2020 to address the loss of koala habitat in </w:t>
            </w:r>
            <w:proofErr w:type="gramStart"/>
            <w:r w:rsidR="00CD2D54">
              <w:rPr>
                <w:rFonts w:cs="Arial"/>
                <w:color w:val="000000"/>
                <w:shd w:val="clear" w:color="auto" w:fill="FFFFFF"/>
              </w:rPr>
              <w:t>S</w:t>
            </w:r>
            <w:r w:rsidRPr="002A53B6">
              <w:rPr>
                <w:rFonts w:cs="Arial"/>
                <w:color w:val="000000"/>
                <w:shd w:val="clear" w:color="auto" w:fill="FFFFFF"/>
              </w:rPr>
              <w:t xml:space="preserve">outh </w:t>
            </w:r>
            <w:r w:rsidR="00CD2D54">
              <w:rPr>
                <w:rFonts w:cs="Arial"/>
                <w:color w:val="000000"/>
                <w:shd w:val="clear" w:color="auto" w:fill="FFFFFF"/>
              </w:rPr>
              <w:t>E</w:t>
            </w:r>
            <w:r w:rsidRPr="002A53B6">
              <w:rPr>
                <w:rFonts w:cs="Arial"/>
                <w:color w:val="000000"/>
                <w:shd w:val="clear" w:color="auto" w:fill="FFFFFF"/>
              </w:rPr>
              <w:t>ast</w:t>
            </w:r>
            <w:proofErr w:type="gramEnd"/>
            <w:r w:rsidRPr="002A53B6">
              <w:rPr>
                <w:rFonts w:cs="Arial"/>
                <w:color w:val="000000"/>
                <w:shd w:val="clear" w:color="auto" w:fill="FFFFFF"/>
              </w:rPr>
              <w:t xml:space="preserve"> Queensland. As part of th</w:t>
            </w:r>
            <w:r w:rsidR="00CD2D54">
              <w:rPr>
                <w:rFonts w:cs="Arial"/>
                <w:color w:val="000000"/>
                <w:shd w:val="clear" w:color="auto" w:fill="FFFFFF"/>
              </w:rPr>
              <w:t>e</w:t>
            </w:r>
            <w:r w:rsidRPr="002A53B6">
              <w:rPr>
                <w:rFonts w:cs="Arial"/>
                <w:color w:val="000000"/>
                <w:shd w:val="clear" w:color="auto" w:fill="FFFFFF"/>
              </w:rPr>
              <w:t>s</w:t>
            </w:r>
            <w:r w:rsidR="00CD2D54">
              <w:rPr>
                <w:rFonts w:cs="Arial"/>
                <w:color w:val="000000"/>
                <w:shd w:val="clear" w:color="auto" w:fill="FFFFFF"/>
              </w:rPr>
              <w:t>e</w:t>
            </w:r>
            <w:r w:rsidRPr="002A53B6">
              <w:rPr>
                <w:rFonts w:cs="Arial"/>
                <w:color w:val="000000"/>
                <w:shd w:val="clear" w:color="auto" w:fill="FFFFFF"/>
              </w:rPr>
              <w:t xml:space="preserve"> reforms, the Queensland Government also adopted new koala habitat mapping to inform the implementation of these regulations.</w:t>
            </w:r>
          </w:p>
          <w:p w14:paraId="3802F199" w14:textId="4FCDE7A1" w:rsidR="006E1285" w:rsidRDefault="006E1285" w:rsidP="002D0222">
            <w:pPr>
              <w:tabs>
                <w:tab w:val="left" w:pos="1185"/>
              </w:tabs>
              <w:spacing w:after="0"/>
              <w:rPr>
                <w:rFonts w:cs="Arial"/>
                <w:color w:val="000000"/>
                <w:shd w:val="clear" w:color="auto" w:fill="FFFFFF"/>
              </w:rPr>
            </w:pPr>
          </w:p>
          <w:p w14:paraId="6A60767B" w14:textId="33602CE4" w:rsidR="00A94F07" w:rsidRPr="005439AF" w:rsidRDefault="005D2641" w:rsidP="002D0222">
            <w:pPr>
              <w:tabs>
                <w:tab w:val="left" w:pos="1185"/>
              </w:tabs>
              <w:spacing w:after="0"/>
              <w:rPr>
                <w:rFonts w:cs="Arial"/>
                <w:color w:val="000000"/>
                <w:shd w:val="clear" w:color="auto" w:fill="FFFFFF"/>
              </w:rPr>
            </w:pPr>
            <w:r w:rsidRPr="002A53B6">
              <w:rPr>
                <w:rFonts w:cs="Arial"/>
                <w:color w:val="000000"/>
                <w:shd w:val="clear" w:color="auto" w:fill="FFFFFF"/>
              </w:rPr>
              <w:t>The koala habitat mapping is managed and updated by the Queensland Government</w:t>
            </w:r>
            <w:r w:rsidR="00E65EE1">
              <w:rPr>
                <w:rFonts w:cs="Arial"/>
                <w:color w:val="000000"/>
                <w:shd w:val="clear" w:color="auto" w:fill="FFFFFF"/>
              </w:rPr>
              <w:t xml:space="preserve"> annually</w:t>
            </w:r>
            <w:r w:rsidRPr="002A53B6">
              <w:rPr>
                <w:rFonts w:cs="Arial"/>
                <w:color w:val="000000"/>
                <w:shd w:val="clear" w:color="auto" w:fill="FFFFFF"/>
              </w:rPr>
              <w:t xml:space="preserve"> and applies to the Brisbane local government area. </w:t>
            </w:r>
            <w:r w:rsidR="00E65EE1">
              <w:rPr>
                <w:rFonts w:cs="Arial"/>
                <w:color w:val="000000"/>
                <w:shd w:val="clear" w:color="auto" w:fill="FFFFFF"/>
              </w:rPr>
              <w:t xml:space="preserve">Proposed development identified within the State koala habitat mapping requires assessment by the </w:t>
            </w:r>
            <w:r w:rsidR="00E65EE1">
              <w:rPr>
                <w:rFonts w:cs="Arial"/>
                <w:color w:val="000000"/>
                <w:shd w:val="clear" w:color="auto" w:fill="FFFFFF"/>
              </w:rPr>
              <w:lastRenderedPageBreak/>
              <w:t>Queensland Government</w:t>
            </w:r>
            <w:r w:rsidRPr="002A53B6">
              <w:rPr>
                <w:rFonts w:cs="Arial"/>
                <w:color w:val="000000"/>
                <w:shd w:val="clear" w:color="auto" w:fill="FFFFFF"/>
              </w:rPr>
              <w:t>.</w:t>
            </w:r>
            <w:r w:rsidR="00E65EE1">
              <w:rPr>
                <w:rFonts w:cs="Arial"/>
                <w:color w:val="000000"/>
                <w:shd w:val="clear" w:color="auto" w:fill="FFFFFF"/>
              </w:rPr>
              <w:t xml:space="preserve"> Proposed development within the Koala habitat area of the </w:t>
            </w:r>
            <w:proofErr w:type="gramStart"/>
            <w:r w:rsidR="00E65EE1">
              <w:rPr>
                <w:rFonts w:cs="Arial"/>
                <w:color w:val="000000"/>
                <w:shd w:val="clear" w:color="auto" w:fill="FFFFFF"/>
              </w:rPr>
              <w:t>Biodiversity</w:t>
            </w:r>
            <w:proofErr w:type="gramEnd"/>
            <w:r w:rsidR="00E65EE1">
              <w:rPr>
                <w:rFonts w:cs="Arial"/>
                <w:color w:val="000000"/>
                <w:shd w:val="clear" w:color="auto" w:fill="FFFFFF"/>
              </w:rPr>
              <w:t xml:space="preserve"> areas overlay in City Plan also requires assessment against relevant City Plan provisions.</w:t>
            </w:r>
          </w:p>
        </w:tc>
        <w:tc>
          <w:tcPr>
            <w:tcW w:w="1528" w:type="dxa"/>
            <w:shd w:val="clear" w:color="auto" w:fill="auto"/>
          </w:tcPr>
          <w:p w14:paraId="11AE2B05" w14:textId="092E5EE8" w:rsidR="00D757D5" w:rsidRPr="002A53B6" w:rsidRDefault="00EB6BEF" w:rsidP="007A68BE">
            <w:pPr>
              <w:pStyle w:val="SubmissionTable"/>
              <w:spacing w:before="0" w:after="0"/>
              <w:rPr>
                <w:rFonts w:cs="Arial"/>
                <w:sz w:val="20"/>
                <w:lang w:val="en-AU"/>
              </w:rPr>
            </w:pPr>
            <w:r w:rsidRPr="002A53B6">
              <w:rPr>
                <w:rFonts w:cs="Arial"/>
                <w:sz w:val="20"/>
                <w:lang w:val="en-AU"/>
              </w:rPr>
              <w:lastRenderedPageBreak/>
              <w:t>No change</w:t>
            </w:r>
          </w:p>
        </w:tc>
      </w:tr>
      <w:tr w:rsidR="00B45954" w:rsidRPr="002A53B6" w14:paraId="57268A47" w14:textId="77777777" w:rsidTr="00822335">
        <w:trPr>
          <w:trHeight w:val="58"/>
        </w:trPr>
        <w:tc>
          <w:tcPr>
            <w:tcW w:w="1672" w:type="dxa"/>
            <w:shd w:val="clear" w:color="auto" w:fill="auto"/>
            <w:noWrap/>
          </w:tcPr>
          <w:p w14:paraId="6CAA7626" w14:textId="5DF15E89" w:rsidR="00B45954" w:rsidRPr="002A53B6" w:rsidRDefault="00A5618B" w:rsidP="007A68BE">
            <w:pPr>
              <w:pStyle w:val="SubmissionTable"/>
              <w:spacing w:before="0" w:after="0"/>
              <w:rPr>
                <w:rFonts w:cs="Arial"/>
                <w:sz w:val="20"/>
                <w:shd w:val="clear" w:color="auto" w:fill="FFFFFF"/>
              </w:rPr>
            </w:pPr>
            <w:r w:rsidRPr="002A53B6">
              <w:rPr>
                <w:rFonts w:cs="Arial"/>
                <w:sz w:val="20"/>
                <w:shd w:val="clear" w:color="auto" w:fill="FFFFFF"/>
              </w:rPr>
              <w:t>MK-052</w:t>
            </w:r>
          </w:p>
        </w:tc>
        <w:tc>
          <w:tcPr>
            <w:tcW w:w="5669" w:type="dxa"/>
            <w:shd w:val="clear" w:color="auto" w:fill="auto"/>
          </w:tcPr>
          <w:p w14:paraId="3FBCE804" w14:textId="657F7359" w:rsidR="00861BBF" w:rsidRDefault="0080359C" w:rsidP="001E39AC">
            <w:pPr>
              <w:pStyle w:val="SubmissionTable"/>
              <w:spacing w:before="0" w:after="0"/>
              <w:rPr>
                <w:rFonts w:cs="Arial"/>
                <w:sz w:val="20"/>
                <w:shd w:val="clear" w:color="auto" w:fill="FFFFFF"/>
              </w:rPr>
            </w:pPr>
            <w:r>
              <w:rPr>
                <w:rFonts w:cs="Arial"/>
                <w:sz w:val="20"/>
                <w:shd w:val="clear" w:color="auto" w:fill="FFFFFF"/>
              </w:rPr>
              <w:t>The s</w:t>
            </w:r>
            <w:r w:rsidR="00B45954" w:rsidRPr="002A53B6">
              <w:rPr>
                <w:rFonts w:cs="Arial"/>
                <w:sz w:val="20"/>
                <w:shd w:val="clear" w:color="auto" w:fill="FFFFFF"/>
              </w:rPr>
              <w:t xml:space="preserve">ubmitter opposes the following reference documents in the </w:t>
            </w:r>
            <w:proofErr w:type="gramStart"/>
            <w:r w:rsidR="00B45954" w:rsidRPr="002A53B6">
              <w:rPr>
                <w:rFonts w:cs="Arial"/>
                <w:sz w:val="20"/>
                <w:shd w:val="clear" w:color="auto" w:fill="FFFFFF"/>
              </w:rPr>
              <w:t>Infrastructure</w:t>
            </w:r>
            <w:proofErr w:type="gramEnd"/>
            <w:r w:rsidR="00B45954" w:rsidRPr="002A53B6">
              <w:rPr>
                <w:rFonts w:cs="Arial"/>
                <w:sz w:val="20"/>
                <w:shd w:val="clear" w:color="auto" w:fill="FFFFFF"/>
              </w:rPr>
              <w:t xml:space="preserve"> design planning scheme policy</w:t>
            </w:r>
            <w:r w:rsidR="004B76EF">
              <w:rPr>
                <w:rFonts w:cs="Arial"/>
                <w:sz w:val="20"/>
                <w:shd w:val="clear" w:color="auto" w:fill="FFFFFF"/>
              </w:rPr>
              <w:t xml:space="preserve"> (IDPSP)</w:t>
            </w:r>
            <w:r w:rsidR="00B45954" w:rsidRPr="002A53B6">
              <w:rPr>
                <w:rFonts w:cs="Arial"/>
                <w:sz w:val="20"/>
                <w:shd w:val="clear" w:color="auto" w:fill="FFFFFF"/>
              </w:rPr>
              <w:t xml:space="preserve">, Chapter 7 Stormwater drainage: </w:t>
            </w:r>
          </w:p>
          <w:p w14:paraId="1AE3A4B8" w14:textId="4D9B9D6B" w:rsidR="00861BBF" w:rsidRDefault="00B45954" w:rsidP="001E39AC">
            <w:pPr>
              <w:pStyle w:val="SubmissionTable"/>
              <w:numPr>
                <w:ilvl w:val="0"/>
                <w:numId w:val="26"/>
              </w:numPr>
              <w:spacing w:before="0" w:after="0"/>
              <w:rPr>
                <w:rFonts w:cs="Arial"/>
                <w:sz w:val="20"/>
                <w:shd w:val="clear" w:color="auto" w:fill="FFFFFF"/>
              </w:rPr>
            </w:pPr>
            <w:r w:rsidRPr="002A53B6">
              <w:rPr>
                <w:rFonts w:cs="Arial"/>
                <w:sz w:val="20"/>
                <w:shd w:val="clear" w:color="auto" w:fill="FFFFFF"/>
              </w:rPr>
              <w:t xml:space="preserve">Urban creek erosion - Guidelines for selecting </w:t>
            </w:r>
            <w:r w:rsidR="00E60148" w:rsidRPr="002A53B6">
              <w:rPr>
                <w:rFonts w:cs="Arial"/>
                <w:sz w:val="20"/>
                <w:shd w:val="clear" w:color="auto" w:fill="FFFFFF"/>
              </w:rPr>
              <w:t>remedial</w:t>
            </w:r>
            <w:r w:rsidRPr="002A53B6">
              <w:rPr>
                <w:rFonts w:cs="Arial"/>
                <w:sz w:val="20"/>
                <w:shd w:val="clear" w:color="auto" w:fill="FFFFFF"/>
              </w:rPr>
              <w:t xml:space="preserve"> works 1996</w:t>
            </w:r>
          </w:p>
          <w:p w14:paraId="7E2493FB" w14:textId="77777777" w:rsidR="00861BBF" w:rsidRDefault="00B45954" w:rsidP="001E39AC">
            <w:pPr>
              <w:pStyle w:val="SubmissionTable"/>
              <w:numPr>
                <w:ilvl w:val="0"/>
                <w:numId w:val="26"/>
              </w:numPr>
              <w:spacing w:before="0" w:after="0"/>
              <w:rPr>
                <w:rFonts w:cs="Arial"/>
                <w:sz w:val="20"/>
                <w:shd w:val="clear" w:color="auto" w:fill="FFFFFF"/>
              </w:rPr>
            </w:pPr>
            <w:r w:rsidRPr="002A53B6">
              <w:rPr>
                <w:rFonts w:cs="Arial"/>
                <w:sz w:val="20"/>
                <w:shd w:val="clear" w:color="auto" w:fill="FFFFFF"/>
              </w:rPr>
              <w:t xml:space="preserve">Urban stormwater management strategy. </w:t>
            </w:r>
          </w:p>
          <w:p w14:paraId="50FF6019" w14:textId="77777777" w:rsidR="00790154" w:rsidRDefault="00790154" w:rsidP="001E39AC">
            <w:pPr>
              <w:pStyle w:val="SubmissionTable"/>
              <w:spacing w:before="0" w:after="0"/>
              <w:rPr>
                <w:rFonts w:cs="Arial"/>
                <w:sz w:val="20"/>
                <w:shd w:val="clear" w:color="auto" w:fill="FFFFFF"/>
              </w:rPr>
            </w:pPr>
          </w:p>
          <w:p w14:paraId="668C51E9" w14:textId="5BB048E9" w:rsidR="00CC0C3E" w:rsidRDefault="00790154" w:rsidP="001E39AC">
            <w:pPr>
              <w:pStyle w:val="SubmissionTable"/>
              <w:spacing w:before="0" w:after="0"/>
              <w:rPr>
                <w:rFonts w:cs="Arial"/>
                <w:sz w:val="20"/>
                <w:shd w:val="clear" w:color="auto" w:fill="FFFFFF"/>
              </w:rPr>
            </w:pPr>
            <w:r>
              <w:rPr>
                <w:rFonts w:cs="Arial"/>
                <w:sz w:val="20"/>
                <w:shd w:val="clear" w:color="auto" w:fill="FFFFFF"/>
              </w:rPr>
              <w:t>The s</w:t>
            </w:r>
            <w:r w:rsidR="00E97887">
              <w:rPr>
                <w:rFonts w:cs="Arial"/>
                <w:sz w:val="20"/>
                <w:shd w:val="clear" w:color="auto" w:fill="FFFFFF"/>
              </w:rPr>
              <w:t xml:space="preserve">ubmitter suggests </w:t>
            </w:r>
            <w:r w:rsidR="0045556F">
              <w:rPr>
                <w:rFonts w:cs="Arial"/>
                <w:sz w:val="20"/>
                <w:shd w:val="clear" w:color="auto" w:fill="FFFFFF"/>
              </w:rPr>
              <w:t xml:space="preserve">that </w:t>
            </w:r>
            <w:r w:rsidR="00E97887">
              <w:rPr>
                <w:rFonts w:cs="Arial"/>
                <w:sz w:val="20"/>
                <w:shd w:val="clear" w:color="auto" w:fill="FFFFFF"/>
              </w:rPr>
              <w:t>b</w:t>
            </w:r>
            <w:r w:rsidR="00B45954" w:rsidRPr="002A53B6">
              <w:rPr>
                <w:rFonts w:cs="Arial"/>
                <w:sz w:val="20"/>
                <w:shd w:val="clear" w:color="auto" w:fill="FFFFFF"/>
              </w:rPr>
              <w:t>oth documents are now 25 and 20 years old and are no longer reflective of contemporary "best practice".</w:t>
            </w:r>
          </w:p>
          <w:p w14:paraId="4EA69669" w14:textId="77777777" w:rsidR="00790154" w:rsidRDefault="00790154" w:rsidP="001E39AC">
            <w:pPr>
              <w:pStyle w:val="SubmissionTable"/>
              <w:spacing w:before="0" w:after="0"/>
              <w:rPr>
                <w:rFonts w:cs="Arial"/>
                <w:sz w:val="20"/>
                <w:shd w:val="clear" w:color="auto" w:fill="FFFFFF"/>
              </w:rPr>
            </w:pPr>
          </w:p>
          <w:p w14:paraId="62838823" w14:textId="53112AB5" w:rsidR="00A94F07" w:rsidRPr="002A53B6" w:rsidRDefault="00790154" w:rsidP="001E39AC">
            <w:pPr>
              <w:pStyle w:val="SubmissionTable"/>
              <w:spacing w:before="0" w:after="0"/>
              <w:rPr>
                <w:rFonts w:cs="Arial"/>
                <w:sz w:val="20"/>
                <w:shd w:val="clear" w:color="auto" w:fill="FFFFFF"/>
              </w:rPr>
            </w:pPr>
            <w:r>
              <w:rPr>
                <w:rFonts w:cs="Arial"/>
                <w:sz w:val="20"/>
                <w:shd w:val="clear" w:color="auto" w:fill="FFFFFF"/>
              </w:rPr>
              <w:t>The s</w:t>
            </w:r>
            <w:r w:rsidR="00CC0C3E">
              <w:rPr>
                <w:rFonts w:cs="Arial"/>
                <w:sz w:val="20"/>
                <w:shd w:val="clear" w:color="auto" w:fill="FFFFFF"/>
              </w:rPr>
              <w:t>ubmitter r</w:t>
            </w:r>
            <w:r w:rsidR="00B45954" w:rsidRPr="002A53B6">
              <w:rPr>
                <w:rFonts w:cs="Arial"/>
                <w:sz w:val="20"/>
                <w:shd w:val="clear" w:color="auto" w:fill="FFFFFF"/>
              </w:rPr>
              <w:t>equest</w:t>
            </w:r>
            <w:r w:rsidR="00CC0C3E">
              <w:rPr>
                <w:rFonts w:cs="Arial"/>
                <w:sz w:val="20"/>
                <w:shd w:val="clear" w:color="auto" w:fill="FFFFFF"/>
              </w:rPr>
              <w:t>s</w:t>
            </w:r>
            <w:r w:rsidR="00B45954" w:rsidRPr="002A53B6">
              <w:rPr>
                <w:rFonts w:cs="Arial"/>
                <w:sz w:val="20"/>
                <w:shd w:val="clear" w:color="auto" w:fill="FFFFFF"/>
              </w:rPr>
              <w:t xml:space="preserve"> </w:t>
            </w:r>
            <w:r w:rsidR="0045556F">
              <w:rPr>
                <w:rFonts w:cs="Arial"/>
                <w:sz w:val="20"/>
                <w:shd w:val="clear" w:color="auto" w:fill="FFFFFF"/>
              </w:rPr>
              <w:t xml:space="preserve">that </w:t>
            </w:r>
            <w:r w:rsidR="00B45954" w:rsidRPr="002A53B6">
              <w:rPr>
                <w:rFonts w:cs="Arial"/>
                <w:sz w:val="20"/>
                <w:shd w:val="clear" w:color="auto" w:fill="FFFFFF"/>
              </w:rPr>
              <w:t>the amendment provide</w:t>
            </w:r>
            <w:r w:rsidR="0045556F">
              <w:rPr>
                <w:rFonts w:cs="Arial"/>
                <w:sz w:val="20"/>
                <w:shd w:val="clear" w:color="auto" w:fill="FFFFFF"/>
              </w:rPr>
              <w:t>s</w:t>
            </w:r>
            <w:r w:rsidR="00B45954" w:rsidRPr="002A53B6">
              <w:rPr>
                <w:rFonts w:cs="Arial"/>
                <w:sz w:val="20"/>
                <w:shd w:val="clear" w:color="auto" w:fill="FFFFFF"/>
              </w:rPr>
              <w:t xml:space="preserve"> more information about the use of modular underground detention systems. There are numerous systems available</w:t>
            </w:r>
            <w:r w:rsidR="00822335">
              <w:rPr>
                <w:rFonts w:cs="Arial"/>
                <w:sz w:val="20"/>
                <w:shd w:val="clear" w:color="auto" w:fill="FFFFFF"/>
              </w:rPr>
              <w:t>,</w:t>
            </w:r>
            <w:r w:rsidR="00B45954" w:rsidRPr="002A53B6">
              <w:rPr>
                <w:rFonts w:cs="Arial"/>
                <w:sz w:val="20"/>
                <w:shd w:val="clear" w:color="auto" w:fill="FFFFFF"/>
              </w:rPr>
              <w:t xml:space="preserve"> and they are a popular choice. If Council’s intent is that only precast concrete underground detention tanks are supported, the policy should be explicit in this regard. If modular plastic storage systems are permissible, the policy should provide specific guidance in relation to the acceptable design parameters for such systems.</w:t>
            </w:r>
          </w:p>
        </w:tc>
        <w:tc>
          <w:tcPr>
            <w:tcW w:w="5842" w:type="dxa"/>
            <w:shd w:val="clear" w:color="auto" w:fill="auto"/>
          </w:tcPr>
          <w:p w14:paraId="6B9F002C" w14:textId="6A81C871" w:rsidR="00CF7A40" w:rsidRPr="00452785" w:rsidRDefault="00861BBF" w:rsidP="002D0222">
            <w:pPr>
              <w:spacing w:after="0"/>
              <w:rPr>
                <w:lang w:val="en-AU"/>
              </w:rPr>
            </w:pPr>
            <w:r w:rsidRPr="00452785">
              <w:rPr>
                <w:lang w:val="en-AU"/>
              </w:rPr>
              <w:t xml:space="preserve">The request is not within the scope of the amendment. There are no proposed changes </w:t>
            </w:r>
            <w:r w:rsidR="0080359C">
              <w:rPr>
                <w:lang w:val="en-AU"/>
              </w:rPr>
              <w:t xml:space="preserve">in Major amendment package K </w:t>
            </w:r>
            <w:r w:rsidRPr="00452785">
              <w:rPr>
                <w:lang w:val="en-AU"/>
              </w:rPr>
              <w:t xml:space="preserve">to these documents. </w:t>
            </w:r>
          </w:p>
          <w:p w14:paraId="61DEED09" w14:textId="77777777" w:rsidR="0080359C" w:rsidRDefault="0080359C" w:rsidP="002D0222">
            <w:pPr>
              <w:spacing w:after="0"/>
              <w:rPr>
                <w:lang w:val="en-AU"/>
              </w:rPr>
            </w:pPr>
          </w:p>
          <w:p w14:paraId="6B0A9C20" w14:textId="73A28830" w:rsidR="00B45954" w:rsidRPr="002A53B6" w:rsidRDefault="004B76EF" w:rsidP="0045556F">
            <w:pPr>
              <w:spacing w:after="0"/>
              <w:rPr>
                <w:rFonts w:cs="Arial"/>
                <w:shd w:val="clear" w:color="auto" w:fill="FFFFFF"/>
              </w:rPr>
            </w:pPr>
            <w:r w:rsidRPr="00452785">
              <w:rPr>
                <w:lang w:val="en-AU"/>
              </w:rPr>
              <w:t>The</w:t>
            </w:r>
            <w:r w:rsidR="00861BBF" w:rsidRPr="00452785">
              <w:rPr>
                <w:lang w:val="en-AU"/>
              </w:rPr>
              <w:t xml:space="preserve"> IDPSP lists the </w:t>
            </w:r>
            <w:r w:rsidR="00941BEE">
              <w:rPr>
                <w:lang w:val="en-AU"/>
              </w:rPr>
              <w:t>specification</w:t>
            </w:r>
            <w:r w:rsidR="00941BEE" w:rsidRPr="00452785">
              <w:rPr>
                <w:lang w:val="en-AU"/>
              </w:rPr>
              <w:t>s</w:t>
            </w:r>
            <w:r w:rsidR="00861BBF" w:rsidRPr="00452785">
              <w:rPr>
                <w:lang w:val="en-AU"/>
              </w:rPr>
              <w:t xml:space="preserve"> for underground detention tanks </w:t>
            </w:r>
            <w:r w:rsidR="009D76B6" w:rsidRPr="00452785">
              <w:rPr>
                <w:lang w:val="en-AU"/>
              </w:rPr>
              <w:t>(</w:t>
            </w:r>
            <w:r w:rsidR="00861BBF" w:rsidRPr="00452785">
              <w:rPr>
                <w:lang w:val="en-AU"/>
              </w:rPr>
              <w:t>Section 7.5.8</w:t>
            </w:r>
            <w:r w:rsidR="009D76B6" w:rsidRPr="00452785">
              <w:rPr>
                <w:lang w:val="en-AU"/>
              </w:rPr>
              <w:t>)</w:t>
            </w:r>
            <w:r w:rsidR="00861BBF" w:rsidRPr="00452785">
              <w:rPr>
                <w:lang w:val="en-AU"/>
              </w:rPr>
              <w:t xml:space="preserve"> and does not </w:t>
            </w:r>
            <w:r w:rsidR="00EF222B" w:rsidRPr="00452785">
              <w:rPr>
                <w:lang w:val="en-AU"/>
              </w:rPr>
              <w:t xml:space="preserve">explicitly </w:t>
            </w:r>
            <w:r w:rsidR="00861BBF" w:rsidRPr="00452785">
              <w:rPr>
                <w:lang w:val="en-AU"/>
              </w:rPr>
              <w:t>require a concrete tank. If a modular system meets th</w:t>
            </w:r>
            <w:r w:rsidR="00CD07A2" w:rsidRPr="00452785">
              <w:rPr>
                <w:lang w:val="en-AU"/>
              </w:rPr>
              <w:t>e</w:t>
            </w:r>
            <w:r w:rsidR="00861BBF" w:rsidRPr="00452785">
              <w:rPr>
                <w:lang w:val="en-AU"/>
              </w:rPr>
              <w:t xml:space="preserve"> design requirements</w:t>
            </w:r>
            <w:r w:rsidR="00CD07A2" w:rsidRPr="00452785">
              <w:rPr>
                <w:lang w:val="en-AU"/>
              </w:rPr>
              <w:t>,</w:t>
            </w:r>
            <w:r w:rsidR="00861BBF" w:rsidRPr="00452785">
              <w:rPr>
                <w:lang w:val="en-AU"/>
              </w:rPr>
              <w:t xml:space="preserve"> then it is acceptable to use</w:t>
            </w:r>
            <w:r w:rsidR="000F032B" w:rsidRPr="00452785">
              <w:rPr>
                <w:lang w:val="en-AU"/>
              </w:rPr>
              <w:t xml:space="preserve">. The </w:t>
            </w:r>
            <w:r w:rsidR="00F179F5" w:rsidRPr="00452785">
              <w:rPr>
                <w:lang w:val="en-AU"/>
              </w:rPr>
              <w:t>ID</w:t>
            </w:r>
            <w:r w:rsidR="00861BBF" w:rsidRPr="00452785">
              <w:rPr>
                <w:lang w:val="en-AU"/>
              </w:rPr>
              <w:t>PSP does not prohibit their use and there have been modular systems</w:t>
            </w:r>
            <w:r w:rsidR="00F179F5" w:rsidRPr="00452785">
              <w:rPr>
                <w:lang w:val="en-AU"/>
              </w:rPr>
              <w:t xml:space="preserve"> previously</w:t>
            </w:r>
            <w:r w:rsidR="00861BBF" w:rsidRPr="00452785">
              <w:rPr>
                <w:lang w:val="en-AU"/>
              </w:rPr>
              <w:t xml:space="preserve"> approved by </w:t>
            </w:r>
            <w:r w:rsidR="00146BA9" w:rsidRPr="00452785">
              <w:rPr>
                <w:lang w:val="en-AU"/>
              </w:rPr>
              <w:t>Council</w:t>
            </w:r>
            <w:r w:rsidR="00861BBF" w:rsidRPr="00452785">
              <w:rPr>
                <w:lang w:val="en-AU"/>
              </w:rPr>
              <w:t>.</w:t>
            </w:r>
          </w:p>
        </w:tc>
        <w:tc>
          <w:tcPr>
            <w:tcW w:w="1528" w:type="dxa"/>
            <w:shd w:val="clear" w:color="auto" w:fill="auto"/>
          </w:tcPr>
          <w:p w14:paraId="111469AB" w14:textId="26EC5D80" w:rsidR="00B45954" w:rsidRPr="002A53B6" w:rsidRDefault="001C3C44" w:rsidP="007A68BE">
            <w:pPr>
              <w:pStyle w:val="SubmissionTable"/>
              <w:spacing w:before="0" w:after="0"/>
              <w:rPr>
                <w:rFonts w:cs="Arial"/>
                <w:sz w:val="20"/>
                <w:lang w:val="en-AU"/>
              </w:rPr>
            </w:pPr>
            <w:r>
              <w:rPr>
                <w:rFonts w:cs="Arial"/>
                <w:sz w:val="20"/>
                <w:lang w:val="en-AU"/>
              </w:rPr>
              <w:t>No change</w:t>
            </w:r>
          </w:p>
        </w:tc>
      </w:tr>
      <w:tr w:rsidR="00D07AE9" w:rsidRPr="002A53B6" w14:paraId="0BE39069" w14:textId="77777777" w:rsidTr="00822335">
        <w:trPr>
          <w:trHeight w:val="58"/>
        </w:trPr>
        <w:tc>
          <w:tcPr>
            <w:tcW w:w="1672" w:type="dxa"/>
            <w:shd w:val="clear" w:color="auto" w:fill="auto"/>
            <w:noWrap/>
          </w:tcPr>
          <w:p w14:paraId="038C8F17" w14:textId="3BDF4298" w:rsidR="00D07AE9" w:rsidRPr="002A53B6" w:rsidRDefault="00AE351E" w:rsidP="007A68BE">
            <w:pPr>
              <w:pStyle w:val="SubmissionTable"/>
              <w:spacing w:before="0" w:after="0"/>
              <w:rPr>
                <w:rFonts w:cs="Arial"/>
                <w:sz w:val="20"/>
                <w:shd w:val="clear" w:color="auto" w:fill="FFFFFF"/>
              </w:rPr>
            </w:pPr>
            <w:r w:rsidRPr="002A53B6">
              <w:rPr>
                <w:rFonts w:cs="Arial"/>
                <w:sz w:val="20"/>
                <w:shd w:val="clear" w:color="auto" w:fill="FFFFFF"/>
              </w:rPr>
              <w:t>MK-055</w:t>
            </w:r>
          </w:p>
        </w:tc>
        <w:tc>
          <w:tcPr>
            <w:tcW w:w="5669" w:type="dxa"/>
            <w:shd w:val="clear" w:color="auto" w:fill="auto"/>
          </w:tcPr>
          <w:p w14:paraId="25EE133A" w14:textId="31671EAB" w:rsidR="00861BBF" w:rsidRDefault="009F4893" w:rsidP="001E39AC">
            <w:pPr>
              <w:pStyle w:val="SubmissionTable"/>
              <w:spacing w:before="0" w:after="0"/>
              <w:rPr>
                <w:rFonts w:cs="Arial"/>
                <w:sz w:val="20"/>
                <w:shd w:val="clear" w:color="auto" w:fill="FFFFFF"/>
              </w:rPr>
            </w:pPr>
            <w:r>
              <w:rPr>
                <w:rFonts w:cs="Arial"/>
                <w:sz w:val="20"/>
                <w:shd w:val="clear" w:color="auto" w:fill="FFFFFF"/>
              </w:rPr>
              <w:t>The s</w:t>
            </w:r>
            <w:r w:rsidR="00AE351E" w:rsidRPr="002A53B6">
              <w:rPr>
                <w:rFonts w:cs="Arial"/>
                <w:sz w:val="20"/>
                <w:shd w:val="clear" w:color="auto" w:fill="FFFFFF"/>
              </w:rPr>
              <w:t xml:space="preserve">ubmitter </w:t>
            </w:r>
            <w:r w:rsidR="00966981">
              <w:rPr>
                <w:rFonts w:cs="Arial"/>
                <w:sz w:val="20"/>
                <w:shd w:val="clear" w:color="auto" w:fill="FFFFFF"/>
              </w:rPr>
              <w:t>questions</w:t>
            </w:r>
            <w:r w:rsidR="00AE351E" w:rsidRPr="002A53B6">
              <w:rPr>
                <w:rFonts w:cs="Arial"/>
                <w:sz w:val="20"/>
                <w:shd w:val="clear" w:color="auto" w:fill="FFFFFF"/>
              </w:rPr>
              <w:t xml:space="preserve"> the classification of El Paso Street, Bardon</w:t>
            </w:r>
            <w:r w:rsidR="0045556F">
              <w:rPr>
                <w:rFonts w:cs="Arial"/>
                <w:sz w:val="20"/>
                <w:shd w:val="clear" w:color="auto" w:fill="FFFFFF"/>
              </w:rPr>
              <w:t>,</w:t>
            </w:r>
            <w:r w:rsidR="00AE351E" w:rsidRPr="002A53B6">
              <w:rPr>
                <w:rFonts w:cs="Arial"/>
                <w:sz w:val="20"/>
                <w:shd w:val="clear" w:color="auto" w:fill="FFFFFF"/>
              </w:rPr>
              <w:t xml:space="preserve"> as a </w:t>
            </w:r>
            <w:proofErr w:type="spellStart"/>
            <w:proofErr w:type="gramStart"/>
            <w:r w:rsidR="00AE351E" w:rsidRPr="002A53B6">
              <w:rPr>
                <w:rFonts w:cs="Arial"/>
                <w:sz w:val="20"/>
                <w:shd w:val="clear" w:color="auto" w:fill="FFFFFF"/>
              </w:rPr>
              <w:t>Neighbourhood</w:t>
            </w:r>
            <w:proofErr w:type="spellEnd"/>
            <w:r w:rsidR="00AE351E" w:rsidRPr="002A53B6">
              <w:rPr>
                <w:rFonts w:cs="Arial"/>
                <w:sz w:val="20"/>
                <w:shd w:val="clear" w:color="auto" w:fill="FFFFFF"/>
              </w:rPr>
              <w:t xml:space="preserve"> street</w:t>
            </w:r>
            <w:proofErr w:type="gramEnd"/>
            <w:r w:rsidR="00AE351E" w:rsidRPr="002A53B6">
              <w:rPr>
                <w:rFonts w:cs="Arial"/>
                <w:sz w:val="20"/>
                <w:shd w:val="clear" w:color="auto" w:fill="FFFFFF"/>
              </w:rPr>
              <w:t xml:space="preserve"> minor sub-category in the Streetscape hierarchy overlay</w:t>
            </w:r>
            <w:r w:rsidR="00966981">
              <w:rPr>
                <w:rFonts w:cs="Arial"/>
                <w:sz w:val="20"/>
                <w:shd w:val="clear" w:color="auto" w:fill="FFFFFF"/>
              </w:rPr>
              <w:t>,</w:t>
            </w:r>
            <w:r w:rsidR="00AE351E" w:rsidRPr="002A53B6">
              <w:rPr>
                <w:rFonts w:cs="Arial"/>
                <w:sz w:val="20"/>
                <w:shd w:val="clear" w:color="auto" w:fill="FFFFFF"/>
              </w:rPr>
              <w:t xml:space="preserve"> and could not find information to differentiate between </w:t>
            </w:r>
            <w:proofErr w:type="spellStart"/>
            <w:r w:rsidR="00AE351E" w:rsidRPr="002A53B6">
              <w:rPr>
                <w:rFonts w:cs="Arial"/>
                <w:sz w:val="20"/>
                <w:shd w:val="clear" w:color="auto" w:fill="FFFFFF"/>
              </w:rPr>
              <w:t>neighbourhood</w:t>
            </w:r>
            <w:proofErr w:type="spellEnd"/>
            <w:r w:rsidR="007E14F9">
              <w:rPr>
                <w:rFonts w:cs="Arial"/>
                <w:sz w:val="20"/>
                <w:shd w:val="clear" w:color="auto" w:fill="FFFFFF"/>
              </w:rPr>
              <w:t>,</w:t>
            </w:r>
            <w:r w:rsidR="00AE351E" w:rsidRPr="002A53B6">
              <w:rPr>
                <w:rFonts w:cs="Arial"/>
                <w:sz w:val="20"/>
                <w:shd w:val="clear" w:color="auto" w:fill="FFFFFF"/>
              </w:rPr>
              <w:t xml:space="preserve"> minor and local roads.</w:t>
            </w:r>
          </w:p>
          <w:p w14:paraId="442AE9E8" w14:textId="77777777" w:rsidR="0055015E" w:rsidRDefault="0055015E" w:rsidP="001E39AC">
            <w:pPr>
              <w:pStyle w:val="SubmissionTable"/>
              <w:spacing w:before="0" w:after="0"/>
              <w:rPr>
                <w:rFonts w:cs="Arial"/>
                <w:sz w:val="20"/>
                <w:shd w:val="clear" w:color="auto" w:fill="FFFFFF"/>
              </w:rPr>
            </w:pPr>
          </w:p>
          <w:p w14:paraId="134313C1" w14:textId="199BCDD0" w:rsidR="00861BBF" w:rsidRDefault="00B00397" w:rsidP="001E39AC">
            <w:pPr>
              <w:pStyle w:val="SubmissionTable"/>
              <w:spacing w:before="0" w:after="0"/>
              <w:rPr>
                <w:rFonts w:cs="Arial"/>
                <w:sz w:val="20"/>
                <w:shd w:val="clear" w:color="auto" w:fill="FFFFFF"/>
              </w:rPr>
            </w:pPr>
            <w:r>
              <w:rPr>
                <w:rFonts w:cs="Arial"/>
                <w:sz w:val="20"/>
                <w:shd w:val="clear" w:color="auto" w:fill="FFFFFF"/>
              </w:rPr>
              <w:t>The s</w:t>
            </w:r>
            <w:r w:rsidR="00AE351E" w:rsidRPr="002A53B6">
              <w:rPr>
                <w:rFonts w:cs="Arial"/>
                <w:sz w:val="20"/>
                <w:shd w:val="clear" w:color="auto" w:fill="FFFFFF"/>
              </w:rPr>
              <w:t xml:space="preserve">ubmitter requests that it be classified as a local road in the road hierarchy network as: </w:t>
            </w:r>
          </w:p>
          <w:p w14:paraId="53E3ACE1" w14:textId="3AF00121" w:rsidR="00861BBF" w:rsidRDefault="00822335" w:rsidP="001E39AC">
            <w:pPr>
              <w:pStyle w:val="SubmissionTable"/>
              <w:numPr>
                <w:ilvl w:val="0"/>
                <w:numId w:val="27"/>
              </w:numPr>
              <w:spacing w:before="0" w:after="0"/>
              <w:rPr>
                <w:rFonts w:cs="Arial"/>
                <w:sz w:val="20"/>
                <w:shd w:val="clear" w:color="auto" w:fill="FFFFFF"/>
              </w:rPr>
            </w:pPr>
            <w:r>
              <w:rPr>
                <w:rFonts w:cs="Arial"/>
                <w:sz w:val="20"/>
                <w:shd w:val="clear" w:color="auto" w:fill="FFFFFF"/>
              </w:rPr>
              <w:t>t</w:t>
            </w:r>
            <w:r w:rsidR="00AE351E" w:rsidRPr="002A53B6">
              <w:rPr>
                <w:rFonts w:cs="Arial"/>
                <w:sz w:val="20"/>
                <w:shd w:val="clear" w:color="auto" w:fill="FFFFFF"/>
              </w:rPr>
              <w:t>he street is about 170</w:t>
            </w:r>
            <w:r w:rsidR="0045556F">
              <w:rPr>
                <w:rFonts w:cs="Arial"/>
                <w:sz w:val="20"/>
                <w:shd w:val="clear" w:color="auto" w:fill="FFFFFF"/>
              </w:rPr>
              <w:t> </w:t>
            </w:r>
            <w:r w:rsidR="00AE351E" w:rsidRPr="002A53B6">
              <w:rPr>
                <w:rFonts w:cs="Arial"/>
                <w:sz w:val="20"/>
                <w:shd w:val="clear" w:color="auto" w:fill="FFFFFF"/>
              </w:rPr>
              <w:t>m long, ends in a cul-de-sac, caters for only 17 lots and doubt</w:t>
            </w:r>
            <w:r w:rsidR="00CA6B34">
              <w:rPr>
                <w:rFonts w:cs="Arial"/>
                <w:sz w:val="20"/>
                <w:shd w:val="clear" w:color="auto" w:fill="FFFFFF"/>
              </w:rPr>
              <w:t>s</w:t>
            </w:r>
            <w:r w:rsidR="00AE351E" w:rsidRPr="002A53B6">
              <w:rPr>
                <w:rFonts w:cs="Arial"/>
                <w:sz w:val="20"/>
                <w:shd w:val="clear" w:color="auto" w:fill="FFFFFF"/>
              </w:rPr>
              <w:t xml:space="preserve"> it would carry 1</w:t>
            </w:r>
            <w:r w:rsidR="007E14F9">
              <w:rPr>
                <w:rFonts w:cs="Arial"/>
                <w:sz w:val="20"/>
                <w:shd w:val="clear" w:color="auto" w:fill="FFFFFF"/>
              </w:rPr>
              <w:t>,</w:t>
            </w:r>
            <w:r w:rsidR="00AE351E" w:rsidRPr="002A53B6">
              <w:rPr>
                <w:rFonts w:cs="Arial"/>
                <w:sz w:val="20"/>
                <w:shd w:val="clear" w:color="auto" w:fill="FFFFFF"/>
              </w:rPr>
              <w:t>000</w:t>
            </w:r>
            <w:r w:rsidR="0045556F">
              <w:rPr>
                <w:rFonts w:cs="Arial"/>
                <w:sz w:val="20"/>
                <w:shd w:val="clear" w:color="auto" w:fill="FFFFFF"/>
              </w:rPr>
              <w:t> </w:t>
            </w:r>
            <w:r w:rsidR="00AE351E" w:rsidRPr="002A53B6">
              <w:rPr>
                <w:rFonts w:cs="Arial"/>
                <w:sz w:val="20"/>
                <w:shd w:val="clear" w:color="auto" w:fill="FFFFFF"/>
              </w:rPr>
              <w:t>vehicles</w:t>
            </w:r>
          </w:p>
          <w:p w14:paraId="6BE9E12B" w14:textId="49525171" w:rsidR="00861BBF" w:rsidRDefault="00AE351E" w:rsidP="001E39AC">
            <w:pPr>
              <w:pStyle w:val="SubmissionTable"/>
              <w:numPr>
                <w:ilvl w:val="0"/>
                <w:numId w:val="27"/>
              </w:numPr>
              <w:spacing w:before="0" w:after="0"/>
              <w:rPr>
                <w:rFonts w:cs="Arial"/>
                <w:sz w:val="20"/>
                <w:shd w:val="clear" w:color="auto" w:fill="FFFFFF"/>
              </w:rPr>
            </w:pPr>
            <w:r w:rsidRPr="002A53B6">
              <w:rPr>
                <w:rFonts w:cs="Arial"/>
                <w:sz w:val="20"/>
                <w:shd w:val="clear" w:color="auto" w:fill="FFFFFF"/>
              </w:rPr>
              <w:t xml:space="preserve">Council identifies minor roads as catering for 300 lots and 3,000 vehicles per day, and circulation between surrounding </w:t>
            </w:r>
            <w:proofErr w:type="spellStart"/>
            <w:r w:rsidRPr="002A53B6">
              <w:rPr>
                <w:rFonts w:cs="Arial"/>
                <w:sz w:val="20"/>
                <w:shd w:val="clear" w:color="auto" w:fill="FFFFFF"/>
              </w:rPr>
              <w:t>neighbourhoods</w:t>
            </w:r>
            <w:proofErr w:type="spellEnd"/>
          </w:p>
          <w:p w14:paraId="6EFE74B4" w14:textId="38D4D872" w:rsidR="00861BBF" w:rsidRDefault="00822335" w:rsidP="001E39AC">
            <w:pPr>
              <w:pStyle w:val="SubmissionTable"/>
              <w:numPr>
                <w:ilvl w:val="0"/>
                <w:numId w:val="27"/>
              </w:numPr>
              <w:spacing w:before="0" w:after="0"/>
              <w:rPr>
                <w:rFonts w:cs="Arial"/>
                <w:sz w:val="20"/>
                <w:shd w:val="clear" w:color="auto" w:fill="FFFFFF"/>
              </w:rPr>
            </w:pPr>
            <w:r>
              <w:rPr>
                <w:rFonts w:cs="Arial"/>
                <w:sz w:val="20"/>
                <w:shd w:val="clear" w:color="auto" w:fill="FFFFFF"/>
              </w:rPr>
              <w:t>t</w:t>
            </w:r>
            <w:r w:rsidR="00AE351E" w:rsidRPr="002A53B6">
              <w:rPr>
                <w:rFonts w:cs="Arial"/>
                <w:sz w:val="20"/>
                <w:shd w:val="clear" w:color="auto" w:fill="FFFFFF"/>
              </w:rPr>
              <w:t xml:space="preserve">he classification would encourage </w:t>
            </w:r>
            <w:r w:rsidR="000866AA">
              <w:rPr>
                <w:rFonts w:cs="Arial"/>
                <w:sz w:val="20"/>
                <w:shd w:val="clear" w:color="auto" w:fill="FFFFFF"/>
              </w:rPr>
              <w:t>an</w:t>
            </w:r>
            <w:r w:rsidR="00AE351E" w:rsidRPr="002A53B6">
              <w:rPr>
                <w:rFonts w:cs="Arial"/>
                <w:sz w:val="20"/>
                <w:shd w:val="clear" w:color="auto" w:fill="FFFFFF"/>
              </w:rPr>
              <w:t xml:space="preserve"> increase in vehicle use, which is not suitable to the street</w:t>
            </w:r>
          </w:p>
          <w:p w14:paraId="3B22D196" w14:textId="21F46BB6" w:rsidR="00281F51" w:rsidRDefault="00822335" w:rsidP="001E39AC">
            <w:pPr>
              <w:pStyle w:val="SubmissionTable"/>
              <w:numPr>
                <w:ilvl w:val="0"/>
                <w:numId w:val="27"/>
              </w:numPr>
              <w:spacing w:before="0" w:after="0"/>
              <w:rPr>
                <w:rFonts w:cs="Arial"/>
                <w:sz w:val="20"/>
                <w:shd w:val="clear" w:color="auto" w:fill="FFFFFF"/>
              </w:rPr>
            </w:pPr>
            <w:r>
              <w:rPr>
                <w:rFonts w:cs="Arial"/>
                <w:sz w:val="20"/>
                <w:shd w:val="clear" w:color="auto" w:fill="FFFFFF"/>
              </w:rPr>
              <w:lastRenderedPageBreak/>
              <w:t>t</w:t>
            </w:r>
            <w:r w:rsidR="00AE351E" w:rsidRPr="002A53B6">
              <w:rPr>
                <w:rFonts w:cs="Arial"/>
                <w:sz w:val="20"/>
                <w:shd w:val="clear" w:color="auto" w:fill="FFFFFF"/>
              </w:rPr>
              <w:t xml:space="preserve">he street is different in nature to other </w:t>
            </w:r>
            <w:proofErr w:type="spellStart"/>
            <w:r w:rsidR="00AE351E" w:rsidRPr="002A53B6">
              <w:rPr>
                <w:rFonts w:cs="Arial"/>
                <w:sz w:val="20"/>
                <w:shd w:val="clear" w:color="auto" w:fill="FFFFFF"/>
              </w:rPr>
              <w:t>neighbourhood</w:t>
            </w:r>
            <w:proofErr w:type="spellEnd"/>
            <w:r w:rsidR="00AE351E" w:rsidRPr="002A53B6">
              <w:rPr>
                <w:rFonts w:cs="Arial"/>
                <w:sz w:val="20"/>
                <w:shd w:val="clear" w:color="auto" w:fill="FFFFFF"/>
              </w:rPr>
              <w:t xml:space="preserve"> and local roads identified in the road hierarchy. </w:t>
            </w:r>
          </w:p>
          <w:p w14:paraId="4C7A5E07" w14:textId="77777777" w:rsidR="00877C4E" w:rsidRDefault="00877C4E" w:rsidP="001E39AC">
            <w:pPr>
              <w:pStyle w:val="SubmissionTable"/>
              <w:spacing w:before="0" w:after="0"/>
              <w:rPr>
                <w:rFonts w:cs="Arial"/>
                <w:sz w:val="20"/>
                <w:shd w:val="clear" w:color="auto" w:fill="FFFFFF"/>
              </w:rPr>
            </w:pPr>
          </w:p>
          <w:p w14:paraId="425A24E5" w14:textId="60DFBB68" w:rsidR="00A94F07" w:rsidRPr="002A53B6" w:rsidRDefault="00B00397" w:rsidP="001E39AC">
            <w:pPr>
              <w:pStyle w:val="SubmissionTable"/>
              <w:spacing w:before="0" w:after="0"/>
              <w:rPr>
                <w:rFonts w:cs="Arial"/>
                <w:sz w:val="20"/>
                <w:shd w:val="clear" w:color="auto" w:fill="FFFFFF"/>
              </w:rPr>
            </w:pPr>
            <w:r>
              <w:rPr>
                <w:rFonts w:cs="Arial"/>
                <w:sz w:val="20"/>
                <w:shd w:val="clear" w:color="auto" w:fill="FFFFFF"/>
              </w:rPr>
              <w:t>The s</w:t>
            </w:r>
            <w:r w:rsidR="00AE351E" w:rsidRPr="002A53B6">
              <w:rPr>
                <w:rFonts w:cs="Arial"/>
                <w:sz w:val="20"/>
                <w:shd w:val="clear" w:color="auto" w:fill="FFFFFF"/>
              </w:rPr>
              <w:t>ubmitter also raised concerns about a matter relating to a potential proposal to change the future use of an easement over their property as road reserve.</w:t>
            </w:r>
          </w:p>
        </w:tc>
        <w:tc>
          <w:tcPr>
            <w:tcW w:w="5842" w:type="dxa"/>
            <w:shd w:val="clear" w:color="auto" w:fill="auto"/>
          </w:tcPr>
          <w:p w14:paraId="3F2237BB" w14:textId="32C6CA6A" w:rsidR="00861BBF" w:rsidRDefault="00861BBF" w:rsidP="002D0222">
            <w:pPr>
              <w:spacing w:after="0"/>
              <w:rPr>
                <w:lang w:val="en-AU"/>
              </w:rPr>
            </w:pPr>
            <w:r w:rsidRPr="00E51D32">
              <w:rPr>
                <w:lang w:val="en-AU"/>
              </w:rPr>
              <w:lastRenderedPageBreak/>
              <w:t>The submission is not within the scope of the amendment.</w:t>
            </w:r>
            <w:r w:rsidR="00B36C47">
              <w:rPr>
                <w:lang w:val="en-AU"/>
              </w:rPr>
              <w:t xml:space="preserve"> </w:t>
            </w:r>
            <w:r w:rsidR="009F4893">
              <w:rPr>
                <w:lang w:val="en-AU"/>
              </w:rPr>
              <w:t xml:space="preserve">Major </w:t>
            </w:r>
            <w:r w:rsidR="00B36C47" w:rsidRPr="00E51D32">
              <w:rPr>
                <w:lang w:val="en-AU"/>
              </w:rPr>
              <w:t xml:space="preserve">amendment </w:t>
            </w:r>
            <w:r w:rsidR="009F4893">
              <w:rPr>
                <w:lang w:val="en-AU"/>
              </w:rPr>
              <w:t xml:space="preserve">package K </w:t>
            </w:r>
            <w:r w:rsidR="00D45C69">
              <w:rPr>
                <w:lang w:val="en-AU"/>
              </w:rPr>
              <w:t>has</w:t>
            </w:r>
            <w:r w:rsidR="00B36C47" w:rsidRPr="00E51D32">
              <w:rPr>
                <w:lang w:val="en-AU"/>
              </w:rPr>
              <w:t xml:space="preserve"> not change</w:t>
            </w:r>
            <w:r w:rsidR="00D45C69">
              <w:rPr>
                <w:lang w:val="en-AU"/>
              </w:rPr>
              <w:t>d</w:t>
            </w:r>
            <w:r w:rsidR="00B36C47" w:rsidRPr="00E51D32">
              <w:rPr>
                <w:lang w:val="en-AU"/>
              </w:rPr>
              <w:t xml:space="preserve"> the </w:t>
            </w:r>
            <w:r w:rsidR="007E14F9">
              <w:rPr>
                <w:lang w:val="en-AU"/>
              </w:rPr>
              <w:t>R</w:t>
            </w:r>
            <w:r w:rsidR="00B36C47" w:rsidRPr="00E51D32">
              <w:rPr>
                <w:lang w:val="en-AU"/>
              </w:rPr>
              <w:t xml:space="preserve">oad hierarchy overlay. </w:t>
            </w:r>
          </w:p>
          <w:p w14:paraId="6433450D" w14:textId="77777777" w:rsidR="00877C4E" w:rsidRPr="00E51D32" w:rsidRDefault="00877C4E" w:rsidP="002D0222">
            <w:pPr>
              <w:spacing w:after="0"/>
              <w:rPr>
                <w:lang w:val="en-AU"/>
              </w:rPr>
            </w:pPr>
          </w:p>
          <w:p w14:paraId="658D6666" w14:textId="589C56C8" w:rsidR="00861BBF" w:rsidRDefault="00861BBF" w:rsidP="002D0222">
            <w:pPr>
              <w:spacing w:after="0"/>
              <w:rPr>
                <w:lang w:val="en-AU"/>
              </w:rPr>
            </w:pPr>
            <w:r w:rsidRPr="00E51D32">
              <w:rPr>
                <w:lang w:val="en-AU"/>
              </w:rPr>
              <w:t xml:space="preserve">The </w:t>
            </w:r>
            <w:r w:rsidR="007E14F9">
              <w:rPr>
                <w:lang w:val="en-AU"/>
              </w:rPr>
              <w:t>S</w:t>
            </w:r>
            <w:r w:rsidRPr="00E51D32">
              <w:rPr>
                <w:lang w:val="en-AU"/>
              </w:rPr>
              <w:t xml:space="preserve">treetscape hierarchy overlay </w:t>
            </w:r>
            <w:r w:rsidR="007E14F9">
              <w:rPr>
                <w:lang w:val="en-AU"/>
              </w:rPr>
              <w:t>serves a different purpose</w:t>
            </w:r>
            <w:r w:rsidRPr="00E51D32">
              <w:rPr>
                <w:lang w:val="en-AU"/>
              </w:rPr>
              <w:t xml:space="preserve"> to the </w:t>
            </w:r>
            <w:r w:rsidR="007E14F9">
              <w:rPr>
                <w:lang w:val="en-AU"/>
              </w:rPr>
              <w:t>R</w:t>
            </w:r>
            <w:r w:rsidRPr="00E51D32">
              <w:rPr>
                <w:lang w:val="en-AU"/>
              </w:rPr>
              <w:t xml:space="preserve">oad hierarchy overlay. </w:t>
            </w:r>
            <w:r w:rsidR="007E14F9">
              <w:rPr>
                <w:rFonts w:cs="Arial"/>
                <w:lang w:val="en-AU"/>
              </w:rPr>
              <w:t>It</w:t>
            </w:r>
            <w:r w:rsidR="007E14F9" w:rsidRPr="002A53B6">
              <w:rPr>
                <w:rFonts w:cs="Arial"/>
                <w:lang w:val="en-AU"/>
              </w:rPr>
              <w:t xml:space="preserve"> is a planning instrument to ensure </w:t>
            </w:r>
            <w:r w:rsidR="0045556F">
              <w:rPr>
                <w:rFonts w:cs="Arial"/>
                <w:lang w:val="en-AU"/>
              </w:rPr>
              <w:t xml:space="preserve">that </w:t>
            </w:r>
            <w:r w:rsidR="007E14F9" w:rsidRPr="002A53B6">
              <w:rPr>
                <w:rFonts w:cs="Arial"/>
                <w:lang w:val="en-AU"/>
              </w:rPr>
              <w:t>verges are designed and constructed in accordance with Council's intended outcomes. The overlay does not influence the volume of traffic on a road</w:t>
            </w:r>
            <w:r w:rsidR="0003724D" w:rsidRPr="00E51D32">
              <w:rPr>
                <w:lang w:val="en-AU"/>
              </w:rPr>
              <w:t>.</w:t>
            </w:r>
          </w:p>
          <w:p w14:paraId="37505C72" w14:textId="77777777" w:rsidR="00877C4E" w:rsidRPr="00E51D32" w:rsidRDefault="00877C4E" w:rsidP="002D0222">
            <w:pPr>
              <w:spacing w:after="0"/>
              <w:rPr>
                <w:lang w:val="en-AU"/>
              </w:rPr>
            </w:pPr>
          </w:p>
          <w:p w14:paraId="1746403B" w14:textId="7E06C7DC" w:rsidR="00281F51" w:rsidRPr="002A53B6" w:rsidRDefault="00281F51" w:rsidP="002D0222">
            <w:pPr>
              <w:spacing w:after="0"/>
              <w:rPr>
                <w:rFonts w:cs="Arial"/>
                <w:color w:val="000000"/>
                <w:shd w:val="clear" w:color="auto" w:fill="FFFFFF"/>
              </w:rPr>
            </w:pPr>
            <w:r w:rsidRPr="00E51D32">
              <w:rPr>
                <w:lang w:val="en-AU"/>
              </w:rPr>
              <w:t>The submitter was contacted to discuss their query regarding specific concerns to their property regarding easements</w:t>
            </w:r>
            <w:r w:rsidR="007E14F9">
              <w:rPr>
                <w:lang w:val="en-AU"/>
              </w:rPr>
              <w:t>.</w:t>
            </w:r>
          </w:p>
        </w:tc>
        <w:tc>
          <w:tcPr>
            <w:tcW w:w="1528" w:type="dxa"/>
            <w:shd w:val="clear" w:color="auto" w:fill="auto"/>
          </w:tcPr>
          <w:p w14:paraId="7D1AE581" w14:textId="02252655" w:rsidR="00D07AE9" w:rsidRPr="002A53B6" w:rsidRDefault="001C3C44" w:rsidP="007A68BE">
            <w:pPr>
              <w:pStyle w:val="SubmissionTable"/>
              <w:spacing w:before="0" w:after="0"/>
              <w:rPr>
                <w:rFonts w:cs="Arial"/>
                <w:sz w:val="20"/>
                <w:shd w:val="clear" w:color="auto" w:fill="FFFFFF"/>
              </w:rPr>
            </w:pPr>
            <w:r>
              <w:rPr>
                <w:rFonts w:cs="Arial"/>
                <w:sz w:val="20"/>
                <w:shd w:val="clear" w:color="auto" w:fill="FFFFFF"/>
              </w:rPr>
              <w:t>No change</w:t>
            </w:r>
          </w:p>
        </w:tc>
      </w:tr>
    </w:tbl>
    <w:p w14:paraId="3EA5ED57" w14:textId="3327520B" w:rsidR="00CB51D5" w:rsidRPr="002A53B6" w:rsidRDefault="00CB51D5" w:rsidP="002D0222">
      <w:pPr>
        <w:spacing w:after="0"/>
        <w:rPr>
          <w:rFonts w:cs="Arial"/>
          <w:lang w:val="en-AU"/>
        </w:rPr>
      </w:pPr>
    </w:p>
    <w:p w14:paraId="068342B9" w14:textId="77777777" w:rsidR="00CB51D5" w:rsidRPr="002A53B6" w:rsidRDefault="00CB51D5" w:rsidP="002D0222">
      <w:pPr>
        <w:spacing w:after="0"/>
        <w:rPr>
          <w:rFonts w:cs="Arial"/>
          <w:lang w:val="en-AU"/>
        </w:rPr>
      </w:pPr>
      <w:r w:rsidRPr="002A53B6">
        <w:rPr>
          <w:rFonts w:cs="Arial"/>
          <w:lang w:val="en-AU"/>
        </w:rPr>
        <w:br w:type="page"/>
      </w:r>
    </w:p>
    <w:p w14:paraId="55081C02" w14:textId="77777777" w:rsidR="0094663B" w:rsidRPr="002A53B6" w:rsidRDefault="0094663B" w:rsidP="002D0222">
      <w:pPr>
        <w:spacing w:after="0"/>
        <w:rPr>
          <w:rFonts w:cs="Arial"/>
          <w:lang w:val="en-AU"/>
        </w:rPr>
      </w:pPr>
    </w:p>
    <w:p w14:paraId="73F0A2DC" w14:textId="38F53849" w:rsidR="009E3F7D" w:rsidRPr="002A53B6" w:rsidRDefault="009E3F7D" w:rsidP="002D0222">
      <w:pPr>
        <w:pStyle w:val="Heading2"/>
        <w:spacing w:before="0" w:after="0"/>
        <w:ind w:left="851" w:hanging="851"/>
      </w:pPr>
      <w:bookmarkStart w:id="20" w:name="_Toc117175568"/>
      <w:r w:rsidRPr="002A53B6">
        <w:t>4.0</w:t>
      </w:r>
      <w:r w:rsidR="00CB51D5" w:rsidRPr="002A53B6">
        <w:tab/>
      </w:r>
      <w:r w:rsidRPr="002A53B6">
        <w:t>Conclusion</w:t>
      </w:r>
      <w:bookmarkEnd w:id="20"/>
    </w:p>
    <w:p w14:paraId="4DB60070" w14:textId="77777777" w:rsidR="00822335" w:rsidRDefault="00822335" w:rsidP="002D0222">
      <w:pPr>
        <w:spacing w:after="0"/>
        <w:jc w:val="both"/>
        <w:rPr>
          <w:rFonts w:cs="Arial"/>
          <w:lang w:val="en-AU"/>
        </w:rPr>
      </w:pPr>
    </w:p>
    <w:p w14:paraId="02F0B01B" w14:textId="58805126" w:rsidR="009E3F7D" w:rsidRDefault="009E3F7D" w:rsidP="002D0222">
      <w:pPr>
        <w:spacing w:after="0"/>
        <w:jc w:val="both"/>
        <w:rPr>
          <w:rFonts w:cs="Arial"/>
          <w:lang w:val="en-AU"/>
        </w:rPr>
      </w:pPr>
      <w:r w:rsidRPr="002A53B6">
        <w:rPr>
          <w:rFonts w:cs="Arial"/>
          <w:lang w:val="en-AU"/>
        </w:rPr>
        <w:t>The submissions received have been considered in the development of the final package of amendments</w:t>
      </w:r>
      <w:r w:rsidR="00941BEE">
        <w:rPr>
          <w:rFonts w:cs="Arial"/>
          <w:lang w:val="en-AU"/>
        </w:rPr>
        <w:t>.</w:t>
      </w:r>
    </w:p>
    <w:p w14:paraId="02E0E0EE" w14:textId="0F166DAC" w:rsidR="00196DA0" w:rsidRDefault="00196DA0" w:rsidP="002D0222">
      <w:pPr>
        <w:spacing w:after="0"/>
        <w:jc w:val="both"/>
        <w:rPr>
          <w:rFonts w:cs="Arial"/>
          <w:lang w:val="en-AU"/>
        </w:rPr>
      </w:pPr>
    </w:p>
    <w:p w14:paraId="66643203" w14:textId="571E1218" w:rsidR="00196DA0" w:rsidRPr="002A53B6" w:rsidRDefault="00196DA0" w:rsidP="00196DA0">
      <w:pPr>
        <w:spacing w:after="0"/>
        <w:jc w:val="both"/>
        <w:rPr>
          <w:rFonts w:cs="Arial"/>
          <w:lang w:val="en-AU"/>
        </w:rPr>
      </w:pPr>
      <w:r>
        <w:rPr>
          <w:rFonts w:cs="Arial"/>
          <w:lang w:val="en-AU"/>
        </w:rPr>
        <w:t>It is important to note</w:t>
      </w:r>
      <w:r w:rsidR="0045556F">
        <w:rPr>
          <w:rFonts w:cs="Arial"/>
          <w:lang w:val="en-AU"/>
        </w:rPr>
        <w:t xml:space="preserve"> that</w:t>
      </w:r>
      <w:r>
        <w:rPr>
          <w:rFonts w:cs="Arial"/>
          <w:lang w:val="en-AU"/>
        </w:rPr>
        <w:t xml:space="preserve"> the proposed amendment may be subject to further changes required by the Queensland Government during the Minister’s consideration period.</w:t>
      </w:r>
    </w:p>
    <w:p w14:paraId="6A7A06CF" w14:textId="77777777" w:rsidR="00196DA0" w:rsidRPr="002A53B6" w:rsidRDefault="00196DA0" w:rsidP="002D0222">
      <w:pPr>
        <w:spacing w:after="0"/>
        <w:jc w:val="both"/>
        <w:rPr>
          <w:rFonts w:cs="Arial"/>
          <w:lang w:val="en-AU"/>
        </w:rPr>
      </w:pPr>
    </w:p>
    <w:sectPr w:rsidR="00196DA0" w:rsidRPr="002A53B6" w:rsidSect="006470FF">
      <w:headerReference w:type="even" r:id="rId11"/>
      <w:headerReference w:type="default" r:id="rId12"/>
      <w:footerReference w:type="default" r:id="rId13"/>
      <w:headerReference w:type="first" r:id="rId14"/>
      <w:footerReference w:type="first" r:id="rId15"/>
      <w:pgSz w:w="16838" w:h="11906" w:orient="landscape"/>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01F2E" w14:textId="77777777" w:rsidR="00BB03A4" w:rsidRDefault="00BB03A4" w:rsidP="003B2DDE">
      <w:r>
        <w:separator/>
      </w:r>
    </w:p>
  </w:endnote>
  <w:endnote w:type="continuationSeparator" w:id="0">
    <w:p w14:paraId="3ED07C62" w14:textId="77777777" w:rsidR="00BB03A4" w:rsidRDefault="00BB03A4" w:rsidP="003B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CBC89" w14:textId="7146CC08" w:rsidR="00246269" w:rsidRPr="00CB51D5" w:rsidRDefault="00246269" w:rsidP="008C4E74">
    <w:pPr>
      <w:pStyle w:val="Footer"/>
      <w:jc w:val="cen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AB68" w14:textId="53A4B87F" w:rsidR="00246269" w:rsidRDefault="00246269" w:rsidP="0066711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8083416"/>
      <w:docPartObj>
        <w:docPartGallery w:val="Page Numbers (Bottom of Page)"/>
        <w:docPartUnique/>
      </w:docPartObj>
    </w:sdtPr>
    <w:sdtEndPr/>
    <w:sdtContent>
      <w:sdt>
        <w:sdtPr>
          <w:id w:val="-1418164754"/>
          <w:docPartObj>
            <w:docPartGallery w:val="Page Numbers (Top of Page)"/>
            <w:docPartUnique/>
          </w:docPartObj>
        </w:sdtPr>
        <w:sdtEndPr/>
        <w:sdtContent>
          <w:p w14:paraId="2EE34571" w14:textId="3A83A311" w:rsidR="00246269" w:rsidRPr="007A72AA" w:rsidRDefault="00303E38" w:rsidP="007A72AA">
            <w:pPr>
              <w:pStyle w:val="Footer"/>
              <w:jc w:val="right"/>
            </w:pPr>
            <w:r w:rsidRPr="00822335">
              <w:rPr>
                <w:sz w:val="18"/>
                <w:szCs w:val="18"/>
              </w:rPr>
              <w:t xml:space="preserve">Page </w:t>
            </w:r>
            <w:r w:rsidRPr="00822335">
              <w:rPr>
                <w:sz w:val="18"/>
                <w:szCs w:val="18"/>
              </w:rPr>
              <w:fldChar w:fldCharType="begin"/>
            </w:r>
            <w:r w:rsidRPr="00822335">
              <w:rPr>
                <w:sz w:val="18"/>
                <w:szCs w:val="18"/>
              </w:rPr>
              <w:instrText xml:space="preserve"> PAGE </w:instrText>
            </w:r>
            <w:r w:rsidRPr="00822335">
              <w:rPr>
                <w:sz w:val="18"/>
                <w:szCs w:val="18"/>
              </w:rPr>
              <w:fldChar w:fldCharType="separate"/>
            </w:r>
            <w:r w:rsidRPr="00822335">
              <w:rPr>
                <w:noProof/>
                <w:sz w:val="18"/>
                <w:szCs w:val="18"/>
              </w:rPr>
              <w:t>2</w:t>
            </w:r>
            <w:r w:rsidRPr="00822335">
              <w:rPr>
                <w:sz w:val="18"/>
                <w:szCs w:val="18"/>
              </w:rPr>
              <w:fldChar w:fldCharType="end"/>
            </w:r>
            <w:r w:rsidRPr="00822335">
              <w:rPr>
                <w:sz w:val="18"/>
                <w:szCs w:val="18"/>
              </w:rPr>
              <w:t xml:space="preserve"> of </w:t>
            </w:r>
            <w:r w:rsidR="00822335" w:rsidRPr="00822335">
              <w:rPr>
                <w:sz w:val="18"/>
                <w:szCs w:val="18"/>
              </w:rPr>
              <w:t>2</w:t>
            </w:r>
            <w:r w:rsidR="00E9175C">
              <w:rPr>
                <w:sz w:val="18"/>
                <w:szCs w:val="18"/>
              </w:rPr>
              <w:t>8</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732718"/>
      <w:docPartObj>
        <w:docPartGallery w:val="Page Numbers (Bottom of Page)"/>
        <w:docPartUnique/>
      </w:docPartObj>
    </w:sdtPr>
    <w:sdtEndPr/>
    <w:sdtContent>
      <w:sdt>
        <w:sdtPr>
          <w:id w:val="-1769616900"/>
          <w:docPartObj>
            <w:docPartGallery w:val="Page Numbers (Top of Page)"/>
            <w:docPartUnique/>
          </w:docPartObj>
        </w:sdtPr>
        <w:sdtEndPr/>
        <w:sdtContent>
          <w:p w14:paraId="39FD0D6C" w14:textId="6B64A214" w:rsidR="00246269" w:rsidRPr="007A72AA" w:rsidRDefault="009C32D3" w:rsidP="007A72AA">
            <w:pPr>
              <w:pStyle w:val="Footer"/>
              <w:jc w:val="right"/>
            </w:pPr>
            <w:r w:rsidRPr="00822335">
              <w:rPr>
                <w:sz w:val="18"/>
                <w:szCs w:val="18"/>
              </w:rPr>
              <w:t xml:space="preserve">Page </w:t>
            </w:r>
            <w:r w:rsidRPr="00822335">
              <w:rPr>
                <w:sz w:val="18"/>
                <w:szCs w:val="18"/>
              </w:rPr>
              <w:fldChar w:fldCharType="begin"/>
            </w:r>
            <w:r w:rsidRPr="00822335">
              <w:rPr>
                <w:sz w:val="18"/>
                <w:szCs w:val="18"/>
              </w:rPr>
              <w:instrText xml:space="preserve"> PAGE </w:instrText>
            </w:r>
            <w:r w:rsidRPr="00822335">
              <w:rPr>
                <w:sz w:val="18"/>
                <w:szCs w:val="18"/>
              </w:rPr>
              <w:fldChar w:fldCharType="separate"/>
            </w:r>
            <w:r w:rsidRPr="00822335">
              <w:rPr>
                <w:noProof/>
                <w:sz w:val="18"/>
                <w:szCs w:val="18"/>
              </w:rPr>
              <w:t>2</w:t>
            </w:r>
            <w:r w:rsidRPr="00822335">
              <w:rPr>
                <w:sz w:val="18"/>
                <w:szCs w:val="18"/>
              </w:rPr>
              <w:fldChar w:fldCharType="end"/>
            </w:r>
            <w:r w:rsidRPr="00822335">
              <w:rPr>
                <w:sz w:val="18"/>
                <w:szCs w:val="18"/>
              </w:rPr>
              <w:t xml:space="preserve"> of </w:t>
            </w:r>
            <w:r w:rsidR="00822335" w:rsidRPr="00822335">
              <w:rPr>
                <w:sz w:val="18"/>
                <w:szCs w:val="18"/>
              </w:rPr>
              <w:t>2</w:t>
            </w:r>
            <w:r w:rsidR="00E9175C">
              <w:rPr>
                <w:sz w:val="18"/>
                <w:szCs w:val="18"/>
              </w:rPr>
              <w:t>8</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5525C" w14:textId="77777777" w:rsidR="00BB03A4" w:rsidRDefault="00BB03A4" w:rsidP="003B2DDE">
      <w:r>
        <w:separator/>
      </w:r>
    </w:p>
  </w:footnote>
  <w:footnote w:type="continuationSeparator" w:id="0">
    <w:p w14:paraId="0A149E94" w14:textId="77777777" w:rsidR="00BB03A4" w:rsidRDefault="00BB03A4" w:rsidP="003B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6EE8" w14:textId="607C72F9" w:rsidR="00246269" w:rsidRDefault="00246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E27A" w14:textId="2153AF6C" w:rsidR="00246269" w:rsidRPr="00EA2426" w:rsidRDefault="00246269" w:rsidP="00EA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03B2" w14:textId="76E23E49" w:rsidR="00246269" w:rsidRDefault="00246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D15"/>
    <w:multiLevelType w:val="hybridMultilevel"/>
    <w:tmpl w:val="723E45A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9F499D"/>
    <w:multiLevelType w:val="hybridMultilevel"/>
    <w:tmpl w:val="BD68B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FF1F48"/>
    <w:multiLevelType w:val="hybridMultilevel"/>
    <w:tmpl w:val="A74A6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8241C"/>
    <w:multiLevelType w:val="hybridMultilevel"/>
    <w:tmpl w:val="D97CE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BC7799"/>
    <w:multiLevelType w:val="hybridMultilevel"/>
    <w:tmpl w:val="1A523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7A7DA1"/>
    <w:multiLevelType w:val="hybridMultilevel"/>
    <w:tmpl w:val="685AA4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5977C2"/>
    <w:multiLevelType w:val="hybridMultilevel"/>
    <w:tmpl w:val="63C85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05E0F9F"/>
    <w:multiLevelType w:val="hybridMultilevel"/>
    <w:tmpl w:val="D6C031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E70B1D"/>
    <w:multiLevelType w:val="hybridMultilevel"/>
    <w:tmpl w:val="FC503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3E31144"/>
    <w:multiLevelType w:val="hybridMultilevel"/>
    <w:tmpl w:val="6492A6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1776A2"/>
    <w:multiLevelType w:val="hybridMultilevel"/>
    <w:tmpl w:val="A12CC7A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EB57EA"/>
    <w:multiLevelType w:val="hybridMultilevel"/>
    <w:tmpl w:val="9CA6150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44"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052BA5"/>
    <w:multiLevelType w:val="hybridMultilevel"/>
    <w:tmpl w:val="2CB0D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C6B6C22"/>
    <w:multiLevelType w:val="hybridMultilevel"/>
    <w:tmpl w:val="4066D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1370E"/>
    <w:multiLevelType w:val="hybridMultilevel"/>
    <w:tmpl w:val="2ACC2B4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D43049"/>
    <w:multiLevelType w:val="hybridMultilevel"/>
    <w:tmpl w:val="E58026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DC361E"/>
    <w:multiLevelType w:val="hybridMultilevel"/>
    <w:tmpl w:val="98B0FC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5E211F6"/>
    <w:multiLevelType w:val="hybridMultilevel"/>
    <w:tmpl w:val="68EA31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DF3600"/>
    <w:multiLevelType w:val="hybridMultilevel"/>
    <w:tmpl w:val="A9F232BA"/>
    <w:lvl w:ilvl="0" w:tplc="0C090001">
      <w:start w:val="1"/>
      <w:numFmt w:val="bullet"/>
      <w:lvlText w:val=""/>
      <w:lvlJc w:val="left"/>
      <w:pPr>
        <w:ind w:left="360" w:hanging="360"/>
      </w:pPr>
      <w:rPr>
        <w:rFonts w:ascii="Symbol" w:hAnsi="Symbol" w:hint="default"/>
      </w:rPr>
    </w:lvl>
    <w:lvl w:ilvl="1" w:tplc="61207DAA">
      <w:start w:val="48"/>
      <w:numFmt w:val="bullet"/>
      <w:lvlText w:val="-"/>
      <w:lvlJc w:val="left"/>
      <w:pPr>
        <w:ind w:left="1080" w:hanging="36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581C9C"/>
    <w:multiLevelType w:val="hybridMultilevel"/>
    <w:tmpl w:val="8EB66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C4C1262"/>
    <w:multiLevelType w:val="hybridMultilevel"/>
    <w:tmpl w:val="00843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2693344"/>
    <w:multiLevelType w:val="hybridMultilevel"/>
    <w:tmpl w:val="C7B61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417DB1"/>
    <w:multiLevelType w:val="hybridMultilevel"/>
    <w:tmpl w:val="8F6472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6A6CC1"/>
    <w:multiLevelType w:val="hybridMultilevel"/>
    <w:tmpl w:val="E58833C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7D61E3F"/>
    <w:multiLevelType w:val="hybridMultilevel"/>
    <w:tmpl w:val="F81E3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D1D0AB4"/>
    <w:multiLevelType w:val="hybridMultilevel"/>
    <w:tmpl w:val="BB78A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4F1B4C"/>
    <w:multiLevelType w:val="hybridMultilevel"/>
    <w:tmpl w:val="E3B2D4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18358F4"/>
    <w:multiLevelType w:val="hybridMultilevel"/>
    <w:tmpl w:val="BB984B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2F67878"/>
    <w:multiLevelType w:val="hybridMultilevel"/>
    <w:tmpl w:val="EC6E0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414587D"/>
    <w:multiLevelType w:val="hybridMultilevel"/>
    <w:tmpl w:val="13A28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3F361E"/>
    <w:multiLevelType w:val="hybridMultilevel"/>
    <w:tmpl w:val="C3169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673EBA"/>
    <w:multiLevelType w:val="hybridMultilevel"/>
    <w:tmpl w:val="29E0F8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A344D38"/>
    <w:multiLevelType w:val="hybridMultilevel"/>
    <w:tmpl w:val="2434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D4466C"/>
    <w:multiLevelType w:val="hybridMultilevel"/>
    <w:tmpl w:val="C4547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620731"/>
    <w:multiLevelType w:val="hybridMultilevel"/>
    <w:tmpl w:val="3B2EBC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D22094"/>
    <w:multiLevelType w:val="hybridMultilevel"/>
    <w:tmpl w:val="345C3C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5C44B6"/>
    <w:multiLevelType w:val="hybridMultilevel"/>
    <w:tmpl w:val="645EE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BD537B"/>
    <w:multiLevelType w:val="hybridMultilevel"/>
    <w:tmpl w:val="B6546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B09736A"/>
    <w:multiLevelType w:val="hybridMultilevel"/>
    <w:tmpl w:val="E838349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44"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FE207C9"/>
    <w:multiLevelType w:val="hybridMultilevel"/>
    <w:tmpl w:val="CFBE4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0AA7A9F"/>
    <w:multiLevelType w:val="hybridMultilevel"/>
    <w:tmpl w:val="E378F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9655BC"/>
    <w:multiLevelType w:val="hybridMultilevel"/>
    <w:tmpl w:val="C936D7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4B772AE"/>
    <w:multiLevelType w:val="hybridMultilevel"/>
    <w:tmpl w:val="18FCC91A"/>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44"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6321E2D"/>
    <w:multiLevelType w:val="hybridMultilevel"/>
    <w:tmpl w:val="C6728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23"/>
  </w:num>
  <w:num w:numId="4">
    <w:abstractNumId w:val="19"/>
  </w:num>
  <w:num w:numId="5">
    <w:abstractNumId w:val="22"/>
  </w:num>
  <w:num w:numId="6">
    <w:abstractNumId w:val="14"/>
  </w:num>
  <w:num w:numId="7">
    <w:abstractNumId w:val="18"/>
  </w:num>
  <w:num w:numId="8">
    <w:abstractNumId w:val="0"/>
  </w:num>
  <w:num w:numId="9">
    <w:abstractNumId w:val="37"/>
  </w:num>
  <w:num w:numId="10">
    <w:abstractNumId w:val="9"/>
  </w:num>
  <w:num w:numId="11">
    <w:abstractNumId w:val="36"/>
  </w:num>
  <w:num w:numId="12">
    <w:abstractNumId w:val="11"/>
  </w:num>
  <w:num w:numId="13">
    <w:abstractNumId w:val="38"/>
  </w:num>
  <w:num w:numId="14">
    <w:abstractNumId w:val="43"/>
  </w:num>
  <w:num w:numId="15">
    <w:abstractNumId w:val="24"/>
  </w:num>
  <w:num w:numId="16">
    <w:abstractNumId w:val="34"/>
  </w:num>
  <w:num w:numId="17">
    <w:abstractNumId w:val="30"/>
  </w:num>
  <w:num w:numId="18">
    <w:abstractNumId w:val="3"/>
  </w:num>
  <w:num w:numId="19">
    <w:abstractNumId w:val="26"/>
  </w:num>
  <w:num w:numId="20">
    <w:abstractNumId w:val="12"/>
  </w:num>
  <w:num w:numId="21">
    <w:abstractNumId w:val="5"/>
  </w:num>
  <w:num w:numId="22">
    <w:abstractNumId w:val="21"/>
  </w:num>
  <w:num w:numId="23">
    <w:abstractNumId w:val="33"/>
  </w:num>
  <w:num w:numId="24">
    <w:abstractNumId w:val="4"/>
  </w:num>
  <w:num w:numId="25">
    <w:abstractNumId w:val="8"/>
  </w:num>
  <w:num w:numId="26">
    <w:abstractNumId w:val="25"/>
  </w:num>
  <w:num w:numId="27">
    <w:abstractNumId w:val="6"/>
  </w:num>
  <w:num w:numId="28">
    <w:abstractNumId w:val="35"/>
  </w:num>
  <w:num w:numId="29">
    <w:abstractNumId w:val="28"/>
  </w:num>
  <w:num w:numId="30">
    <w:abstractNumId w:val="29"/>
  </w:num>
  <w:num w:numId="31">
    <w:abstractNumId w:val="16"/>
  </w:num>
  <w:num w:numId="32">
    <w:abstractNumId w:val="15"/>
  </w:num>
  <w:num w:numId="33">
    <w:abstractNumId w:val="20"/>
  </w:num>
  <w:num w:numId="34">
    <w:abstractNumId w:val="39"/>
  </w:num>
  <w:num w:numId="35">
    <w:abstractNumId w:val="1"/>
  </w:num>
  <w:num w:numId="36">
    <w:abstractNumId w:val="31"/>
  </w:num>
  <w:num w:numId="37">
    <w:abstractNumId w:val="40"/>
  </w:num>
  <w:num w:numId="38">
    <w:abstractNumId w:val="41"/>
  </w:num>
  <w:num w:numId="39">
    <w:abstractNumId w:val="27"/>
  </w:num>
  <w:num w:numId="40">
    <w:abstractNumId w:val="42"/>
  </w:num>
  <w:num w:numId="41">
    <w:abstractNumId w:val="7"/>
  </w:num>
  <w:num w:numId="42">
    <w:abstractNumId w:val="2"/>
  </w:num>
  <w:num w:numId="43">
    <w:abstractNumId w:val="17"/>
  </w:num>
  <w:num w:numId="4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3"/>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37"/>
    <w:rsid w:val="000013EC"/>
    <w:rsid w:val="00003435"/>
    <w:rsid w:val="00003D0E"/>
    <w:rsid w:val="0000610B"/>
    <w:rsid w:val="0000625D"/>
    <w:rsid w:val="00006388"/>
    <w:rsid w:val="00007780"/>
    <w:rsid w:val="00007AFC"/>
    <w:rsid w:val="00007B99"/>
    <w:rsid w:val="000154D2"/>
    <w:rsid w:val="000156ED"/>
    <w:rsid w:val="00016573"/>
    <w:rsid w:val="00017885"/>
    <w:rsid w:val="00017DFE"/>
    <w:rsid w:val="0002268A"/>
    <w:rsid w:val="000239E7"/>
    <w:rsid w:val="00026AF9"/>
    <w:rsid w:val="00032298"/>
    <w:rsid w:val="00032D56"/>
    <w:rsid w:val="00033BF0"/>
    <w:rsid w:val="00034171"/>
    <w:rsid w:val="0003724D"/>
    <w:rsid w:val="00040A9A"/>
    <w:rsid w:val="00041860"/>
    <w:rsid w:val="000420AF"/>
    <w:rsid w:val="00042A61"/>
    <w:rsid w:val="000433F3"/>
    <w:rsid w:val="00043F3E"/>
    <w:rsid w:val="00045324"/>
    <w:rsid w:val="00046993"/>
    <w:rsid w:val="000478F4"/>
    <w:rsid w:val="00047B47"/>
    <w:rsid w:val="000504EF"/>
    <w:rsid w:val="00052236"/>
    <w:rsid w:val="00056B65"/>
    <w:rsid w:val="00057427"/>
    <w:rsid w:val="00057FCA"/>
    <w:rsid w:val="00060606"/>
    <w:rsid w:val="00060792"/>
    <w:rsid w:val="00062370"/>
    <w:rsid w:val="00062ADF"/>
    <w:rsid w:val="0006501A"/>
    <w:rsid w:val="00065E6C"/>
    <w:rsid w:val="00065F0B"/>
    <w:rsid w:val="00074BBD"/>
    <w:rsid w:val="000758C6"/>
    <w:rsid w:val="00081666"/>
    <w:rsid w:val="00081A03"/>
    <w:rsid w:val="00082F6F"/>
    <w:rsid w:val="000833DB"/>
    <w:rsid w:val="00083FD6"/>
    <w:rsid w:val="0008424A"/>
    <w:rsid w:val="00084ED7"/>
    <w:rsid w:val="00085CB2"/>
    <w:rsid w:val="0008601D"/>
    <w:rsid w:val="000866AA"/>
    <w:rsid w:val="00086AE6"/>
    <w:rsid w:val="00086BC3"/>
    <w:rsid w:val="000878A9"/>
    <w:rsid w:val="00092EB6"/>
    <w:rsid w:val="00097475"/>
    <w:rsid w:val="00097FC0"/>
    <w:rsid w:val="000A1459"/>
    <w:rsid w:val="000A1CC7"/>
    <w:rsid w:val="000A405B"/>
    <w:rsid w:val="000A6373"/>
    <w:rsid w:val="000B2461"/>
    <w:rsid w:val="000B2BF4"/>
    <w:rsid w:val="000B50AD"/>
    <w:rsid w:val="000B651B"/>
    <w:rsid w:val="000B7C6D"/>
    <w:rsid w:val="000C008D"/>
    <w:rsid w:val="000C0C84"/>
    <w:rsid w:val="000C234C"/>
    <w:rsid w:val="000C2D0B"/>
    <w:rsid w:val="000C3694"/>
    <w:rsid w:val="000C38CC"/>
    <w:rsid w:val="000C453C"/>
    <w:rsid w:val="000C51DE"/>
    <w:rsid w:val="000C63DB"/>
    <w:rsid w:val="000C77E2"/>
    <w:rsid w:val="000C78FB"/>
    <w:rsid w:val="000D3E93"/>
    <w:rsid w:val="000D5388"/>
    <w:rsid w:val="000D5439"/>
    <w:rsid w:val="000D5893"/>
    <w:rsid w:val="000D68DE"/>
    <w:rsid w:val="000D6F47"/>
    <w:rsid w:val="000E08DF"/>
    <w:rsid w:val="000E131D"/>
    <w:rsid w:val="000E2431"/>
    <w:rsid w:val="000E3C6E"/>
    <w:rsid w:val="000E7D94"/>
    <w:rsid w:val="000F032B"/>
    <w:rsid w:val="000F1EC2"/>
    <w:rsid w:val="000F2333"/>
    <w:rsid w:val="000F4390"/>
    <w:rsid w:val="000F51D7"/>
    <w:rsid w:val="000F6540"/>
    <w:rsid w:val="000F668D"/>
    <w:rsid w:val="000F6EA6"/>
    <w:rsid w:val="00100C7D"/>
    <w:rsid w:val="001011E5"/>
    <w:rsid w:val="001028DE"/>
    <w:rsid w:val="00102A7E"/>
    <w:rsid w:val="001068EF"/>
    <w:rsid w:val="00107FAC"/>
    <w:rsid w:val="00111F1B"/>
    <w:rsid w:val="00112886"/>
    <w:rsid w:val="00113008"/>
    <w:rsid w:val="0011316D"/>
    <w:rsid w:val="00114BDE"/>
    <w:rsid w:val="001164A3"/>
    <w:rsid w:val="00120882"/>
    <w:rsid w:val="00122278"/>
    <w:rsid w:val="00123939"/>
    <w:rsid w:val="0012398C"/>
    <w:rsid w:val="00123E46"/>
    <w:rsid w:val="00127094"/>
    <w:rsid w:val="00130427"/>
    <w:rsid w:val="00130729"/>
    <w:rsid w:val="0013198A"/>
    <w:rsid w:val="00131C01"/>
    <w:rsid w:val="00132C02"/>
    <w:rsid w:val="00134DFD"/>
    <w:rsid w:val="00134E82"/>
    <w:rsid w:val="00136EFC"/>
    <w:rsid w:val="001402C8"/>
    <w:rsid w:val="00140A69"/>
    <w:rsid w:val="001419DD"/>
    <w:rsid w:val="001421BE"/>
    <w:rsid w:val="00142BE7"/>
    <w:rsid w:val="00146BA9"/>
    <w:rsid w:val="00150C43"/>
    <w:rsid w:val="00151B55"/>
    <w:rsid w:val="00151CD0"/>
    <w:rsid w:val="001523E7"/>
    <w:rsid w:val="00153DD8"/>
    <w:rsid w:val="00154CD5"/>
    <w:rsid w:val="00156A8F"/>
    <w:rsid w:val="00157167"/>
    <w:rsid w:val="00161CF7"/>
    <w:rsid w:val="00166506"/>
    <w:rsid w:val="00166F49"/>
    <w:rsid w:val="00166FC9"/>
    <w:rsid w:val="001676F1"/>
    <w:rsid w:val="00171937"/>
    <w:rsid w:val="001724A6"/>
    <w:rsid w:val="0017338B"/>
    <w:rsid w:val="0017406A"/>
    <w:rsid w:val="0017478A"/>
    <w:rsid w:val="001749A7"/>
    <w:rsid w:val="00175631"/>
    <w:rsid w:val="00177EB6"/>
    <w:rsid w:val="00181ACA"/>
    <w:rsid w:val="001865FD"/>
    <w:rsid w:val="00186E7A"/>
    <w:rsid w:val="00187119"/>
    <w:rsid w:val="00187931"/>
    <w:rsid w:val="00187C9B"/>
    <w:rsid w:val="0019106A"/>
    <w:rsid w:val="0019130F"/>
    <w:rsid w:val="00192A38"/>
    <w:rsid w:val="00192CB4"/>
    <w:rsid w:val="00193B27"/>
    <w:rsid w:val="001964AA"/>
    <w:rsid w:val="00196DA0"/>
    <w:rsid w:val="00197405"/>
    <w:rsid w:val="001A0B4A"/>
    <w:rsid w:val="001A0DFE"/>
    <w:rsid w:val="001A12FC"/>
    <w:rsid w:val="001A148C"/>
    <w:rsid w:val="001A6B7D"/>
    <w:rsid w:val="001A7AE8"/>
    <w:rsid w:val="001A7C30"/>
    <w:rsid w:val="001B1726"/>
    <w:rsid w:val="001B2D02"/>
    <w:rsid w:val="001B2D7E"/>
    <w:rsid w:val="001B4B48"/>
    <w:rsid w:val="001B4C53"/>
    <w:rsid w:val="001B6B47"/>
    <w:rsid w:val="001B72A1"/>
    <w:rsid w:val="001B7C89"/>
    <w:rsid w:val="001B7E03"/>
    <w:rsid w:val="001C22A4"/>
    <w:rsid w:val="001C36B7"/>
    <w:rsid w:val="001C3AC4"/>
    <w:rsid w:val="001C3C44"/>
    <w:rsid w:val="001C432E"/>
    <w:rsid w:val="001C5A2F"/>
    <w:rsid w:val="001D02F5"/>
    <w:rsid w:val="001D07C0"/>
    <w:rsid w:val="001D3D57"/>
    <w:rsid w:val="001D52EE"/>
    <w:rsid w:val="001D74E4"/>
    <w:rsid w:val="001D7BEA"/>
    <w:rsid w:val="001E0F18"/>
    <w:rsid w:val="001E39AC"/>
    <w:rsid w:val="001E565C"/>
    <w:rsid w:val="001E695E"/>
    <w:rsid w:val="001F05BB"/>
    <w:rsid w:val="001F05EE"/>
    <w:rsid w:val="001F0C4F"/>
    <w:rsid w:val="001F14ED"/>
    <w:rsid w:val="001F2353"/>
    <w:rsid w:val="001F2C73"/>
    <w:rsid w:val="001F2CB3"/>
    <w:rsid w:val="001F4D0B"/>
    <w:rsid w:val="001F5ED6"/>
    <w:rsid w:val="001F60D0"/>
    <w:rsid w:val="001F7655"/>
    <w:rsid w:val="001F765E"/>
    <w:rsid w:val="00200605"/>
    <w:rsid w:val="002011B7"/>
    <w:rsid w:val="002012E1"/>
    <w:rsid w:val="00202EF1"/>
    <w:rsid w:val="00203FBE"/>
    <w:rsid w:val="002042ED"/>
    <w:rsid w:val="00212794"/>
    <w:rsid w:val="00212A65"/>
    <w:rsid w:val="00213055"/>
    <w:rsid w:val="00213C3A"/>
    <w:rsid w:val="00215EE2"/>
    <w:rsid w:val="00216137"/>
    <w:rsid w:val="002167B0"/>
    <w:rsid w:val="002228CE"/>
    <w:rsid w:val="002302A1"/>
    <w:rsid w:val="00230441"/>
    <w:rsid w:val="002322DD"/>
    <w:rsid w:val="002352B7"/>
    <w:rsid w:val="002372FC"/>
    <w:rsid w:val="00240099"/>
    <w:rsid w:val="002409DF"/>
    <w:rsid w:val="002433B3"/>
    <w:rsid w:val="002438E0"/>
    <w:rsid w:val="002441F2"/>
    <w:rsid w:val="00245AC4"/>
    <w:rsid w:val="00245D43"/>
    <w:rsid w:val="00246269"/>
    <w:rsid w:val="002474C1"/>
    <w:rsid w:val="00250390"/>
    <w:rsid w:val="00250864"/>
    <w:rsid w:val="00251E72"/>
    <w:rsid w:val="0025309D"/>
    <w:rsid w:val="00254BC2"/>
    <w:rsid w:val="00254EBF"/>
    <w:rsid w:val="00256F27"/>
    <w:rsid w:val="002604A1"/>
    <w:rsid w:val="00260592"/>
    <w:rsid w:val="0026571B"/>
    <w:rsid w:val="002659E3"/>
    <w:rsid w:val="00266718"/>
    <w:rsid w:val="00272870"/>
    <w:rsid w:val="00273112"/>
    <w:rsid w:val="00273B05"/>
    <w:rsid w:val="00274ACC"/>
    <w:rsid w:val="00277167"/>
    <w:rsid w:val="002805FA"/>
    <w:rsid w:val="00280A23"/>
    <w:rsid w:val="00280BEC"/>
    <w:rsid w:val="002810BA"/>
    <w:rsid w:val="00281F51"/>
    <w:rsid w:val="0028209D"/>
    <w:rsid w:val="00282A98"/>
    <w:rsid w:val="00284EB9"/>
    <w:rsid w:val="002853BA"/>
    <w:rsid w:val="00287DB4"/>
    <w:rsid w:val="0029042B"/>
    <w:rsid w:val="00291F9A"/>
    <w:rsid w:val="00292B64"/>
    <w:rsid w:val="0029500C"/>
    <w:rsid w:val="002A0B33"/>
    <w:rsid w:val="002A11BB"/>
    <w:rsid w:val="002A14B0"/>
    <w:rsid w:val="002A1ABF"/>
    <w:rsid w:val="002A22D2"/>
    <w:rsid w:val="002A368E"/>
    <w:rsid w:val="002A53B6"/>
    <w:rsid w:val="002A55AB"/>
    <w:rsid w:val="002A7AA4"/>
    <w:rsid w:val="002B2227"/>
    <w:rsid w:val="002B2B08"/>
    <w:rsid w:val="002B3D9B"/>
    <w:rsid w:val="002B42FE"/>
    <w:rsid w:val="002B591A"/>
    <w:rsid w:val="002B7874"/>
    <w:rsid w:val="002C0DAB"/>
    <w:rsid w:val="002C403D"/>
    <w:rsid w:val="002C414C"/>
    <w:rsid w:val="002C5F74"/>
    <w:rsid w:val="002C7AC2"/>
    <w:rsid w:val="002C7B88"/>
    <w:rsid w:val="002D0222"/>
    <w:rsid w:val="002D2904"/>
    <w:rsid w:val="002D4CB6"/>
    <w:rsid w:val="002D7B09"/>
    <w:rsid w:val="002E1A87"/>
    <w:rsid w:val="002E1B68"/>
    <w:rsid w:val="002E1E5E"/>
    <w:rsid w:val="002E306D"/>
    <w:rsid w:val="002E4878"/>
    <w:rsid w:val="002E548E"/>
    <w:rsid w:val="002E5DC1"/>
    <w:rsid w:val="002E6033"/>
    <w:rsid w:val="002E638A"/>
    <w:rsid w:val="002E6FDA"/>
    <w:rsid w:val="002E7DEF"/>
    <w:rsid w:val="002F014C"/>
    <w:rsid w:val="002F07B3"/>
    <w:rsid w:val="002F0927"/>
    <w:rsid w:val="002F58B5"/>
    <w:rsid w:val="002F7AD1"/>
    <w:rsid w:val="0030097B"/>
    <w:rsid w:val="00300E90"/>
    <w:rsid w:val="00301538"/>
    <w:rsid w:val="00303E38"/>
    <w:rsid w:val="0030423F"/>
    <w:rsid w:val="00304BC2"/>
    <w:rsid w:val="003063DA"/>
    <w:rsid w:val="00306973"/>
    <w:rsid w:val="00307972"/>
    <w:rsid w:val="00307DBF"/>
    <w:rsid w:val="00310239"/>
    <w:rsid w:val="0031043E"/>
    <w:rsid w:val="00310D3C"/>
    <w:rsid w:val="00312827"/>
    <w:rsid w:val="00313473"/>
    <w:rsid w:val="00314C5A"/>
    <w:rsid w:val="003160BA"/>
    <w:rsid w:val="00316BB6"/>
    <w:rsid w:val="00316E00"/>
    <w:rsid w:val="00316E94"/>
    <w:rsid w:val="00317AC0"/>
    <w:rsid w:val="0032046E"/>
    <w:rsid w:val="00321F40"/>
    <w:rsid w:val="00322F64"/>
    <w:rsid w:val="003239EB"/>
    <w:rsid w:val="00323F70"/>
    <w:rsid w:val="00325260"/>
    <w:rsid w:val="00325ECD"/>
    <w:rsid w:val="00326F59"/>
    <w:rsid w:val="00330358"/>
    <w:rsid w:val="00331EC6"/>
    <w:rsid w:val="00332AEA"/>
    <w:rsid w:val="00332BF1"/>
    <w:rsid w:val="003331B4"/>
    <w:rsid w:val="003333F3"/>
    <w:rsid w:val="003334A2"/>
    <w:rsid w:val="003336E4"/>
    <w:rsid w:val="00335143"/>
    <w:rsid w:val="00335FC2"/>
    <w:rsid w:val="00341423"/>
    <w:rsid w:val="00341E45"/>
    <w:rsid w:val="0034214D"/>
    <w:rsid w:val="00344776"/>
    <w:rsid w:val="003456D5"/>
    <w:rsid w:val="003459E7"/>
    <w:rsid w:val="00346042"/>
    <w:rsid w:val="00346353"/>
    <w:rsid w:val="00347C9F"/>
    <w:rsid w:val="00351635"/>
    <w:rsid w:val="00356023"/>
    <w:rsid w:val="00357982"/>
    <w:rsid w:val="00360320"/>
    <w:rsid w:val="0036033B"/>
    <w:rsid w:val="0036092C"/>
    <w:rsid w:val="00360A5B"/>
    <w:rsid w:val="00362863"/>
    <w:rsid w:val="0036373F"/>
    <w:rsid w:val="003649FE"/>
    <w:rsid w:val="003653B7"/>
    <w:rsid w:val="00365A66"/>
    <w:rsid w:val="0036767E"/>
    <w:rsid w:val="00370B96"/>
    <w:rsid w:val="0037554F"/>
    <w:rsid w:val="0038129A"/>
    <w:rsid w:val="00383C9C"/>
    <w:rsid w:val="00383DED"/>
    <w:rsid w:val="003858A5"/>
    <w:rsid w:val="00387609"/>
    <w:rsid w:val="0039027D"/>
    <w:rsid w:val="00397DA7"/>
    <w:rsid w:val="00397FCC"/>
    <w:rsid w:val="003A27B6"/>
    <w:rsid w:val="003A291B"/>
    <w:rsid w:val="003A2E83"/>
    <w:rsid w:val="003A4C63"/>
    <w:rsid w:val="003A519A"/>
    <w:rsid w:val="003B0E34"/>
    <w:rsid w:val="003B10A0"/>
    <w:rsid w:val="003B133E"/>
    <w:rsid w:val="003B2914"/>
    <w:rsid w:val="003B2DDE"/>
    <w:rsid w:val="003B30B9"/>
    <w:rsid w:val="003B7A29"/>
    <w:rsid w:val="003B7EC4"/>
    <w:rsid w:val="003C076E"/>
    <w:rsid w:val="003C1585"/>
    <w:rsid w:val="003C1847"/>
    <w:rsid w:val="003C19A7"/>
    <w:rsid w:val="003C37E4"/>
    <w:rsid w:val="003C4087"/>
    <w:rsid w:val="003C576D"/>
    <w:rsid w:val="003C65F9"/>
    <w:rsid w:val="003C6B62"/>
    <w:rsid w:val="003D09AE"/>
    <w:rsid w:val="003D0AC0"/>
    <w:rsid w:val="003D0B42"/>
    <w:rsid w:val="003D3D02"/>
    <w:rsid w:val="003D43E5"/>
    <w:rsid w:val="003D48AF"/>
    <w:rsid w:val="003D5BF0"/>
    <w:rsid w:val="003D6693"/>
    <w:rsid w:val="003E116A"/>
    <w:rsid w:val="003E17BE"/>
    <w:rsid w:val="003E21A4"/>
    <w:rsid w:val="003E22E0"/>
    <w:rsid w:val="003E2933"/>
    <w:rsid w:val="003E47C1"/>
    <w:rsid w:val="003E4E2E"/>
    <w:rsid w:val="003E4EF8"/>
    <w:rsid w:val="003E55A4"/>
    <w:rsid w:val="003E5F16"/>
    <w:rsid w:val="003E61BC"/>
    <w:rsid w:val="003E649A"/>
    <w:rsid w:val="003E6E29"/>
    <w:rsid w:val="003F2063"/>
    <w:rsid w:val="003F7F8D"/>
    <w:rsid w:val="00400231"/>
    <w:rsid w:val="00400F7D"/>
    <w:rsid w:val="004026A0"/>
    <w:rsid w:val="00402B22"/>
    <w:rsid w:val="004037FA"/>
    <w:rsid w:val="00403D30"/>
    <w:rsid w:val="00403D4E"/>
    <w:rsid w:val="00404CDF"/>
    <w:rsid w:val="004073E7"/>
    <w:rsid w:val="004076DB"/>
    <w:rsid w:val="00407772"/>
    <w:rsid w:val="00412B55"/>
    <w:rsid w:val="00414D73"/>
    <w:rsid w:val="0041563A"/>
    <w:rsid w:val="004177A1"/>
    <w:rsid w:val="0041797E"/>
    <w:rsid w:val="00420AB2"/>
    <w:rsid w:val="00422A7F"/>
    <w:rsid w:val="00423707"/>
    <w:rsid w:val="004238A6"/>
    <w:rsid w:val="00425E6E"/>
    <w:rsid w:val="00430FC6"/>
    <w:rsid w:val="00432663"/>
    <w:rsid w:val="00433742"/>
    <w:rsid w:val="00434DE8"/>
    <w:rsid w:val="004359F1"/>
    <w:rsid w:val="0043714B"/>
    <w:rsid w:val="00437943"/>
    <w:rsid w:val="004419FE"/>
    <w:rsid w:val="004424C7"/>
    <w:rsid w:val="004435E8"/>
    <w:rsid w:val="0044499C"/>
    <w:rsid w:val="004449A7"/>
    <w:rsid w:val="00444C3A"/>
    <w:rsid w:val="0044563A"/>
    <w:rsid w:val="00445E1D"/>
    <w:rsid w:val="00446529"/>
    <w:rsid w:val="00447B35"/>
    <w:rsid w:val="004523AE"/>
    <w:rsid w:val="00452785"/>
    <w:rsid w:val="00453131"/>
    <w:rsid w:val="0045487E"/>
    <w:rsid w:val="004554D1"/>
    <w:rsid w:val="0045556F"/>
    <w:rsid w:val="0045680F"/>
    <w:rsid w:val="00462372"/>
    <w:rsid w:val="00464020"/>
    <w:rsid w:val="00464953"/>
    <w:rsid w:val="00466416"/>
    <w:rsid w:val="00471FED"/>
    <w:rsid w:val="00472327"/>
    <w:rsid w:val="00473CDD"/>
    <w:rsid w:val="004747C5"/>
    <w:rsid w:val="00474961"/>
    <w:rsid w:val="004754AB"/>
    <w:rsid w:val="004756C1"/>
    <w:rsid w:val="0047582F"/>
    <w:rsid w:val="00475A87"/>
    <w:rsid w:val="00477DD2"/>
    <w:rsid w:val="00480A14"/>
    <w:rsid w:val="00480DD8"/>
    <w:rsid w:val="004813E3"/>
    <w:rsid w:val="004824DF"/>
    <w:rsid w:val="0048347A"/>
    <w:rsid w:val="0048348A"/>
    <w:rsid w:val="00485489"/>
    <w:rsid w:val="00486C87"/>
    <w:rsid w:val="00487F76"/>
    <w:rsid w:val="00490A81"/>
    <w:rsid w:val="004952D2"/>
    <w:rsid w:val="00496B01"/>
    <w:rsid w:val="0049709A"/>
    <w:rsid w:val="004A0D9A"/>
    <w:rsid w:val="004A185A"/>
    <w:rsid w:val="004A1B7E"/>
    <w:rsid w:val="004A249B"/>
    <w:rsid w:val="004A25E7"/>
    <w:rsid w:val="004A2C63"/>
    <w:rsid w:val="004A344F"/>
    <w:rsid w:val="004A6975"/>
    <w:rsid w:val="004A7578"/>
    <w:rsid w:val="004B2851"/>
    <w:rsid w:val="004B2F5C"/>
    <w:rsid w:val="004B4F32"/>
    <w:rsid w:val="004B7516"/>
    <w:rsid w:val="004B76EF"/>
    <w:rsid w:val="004C08E5"/>
    <w:rsid w:val="004C1215"/>
    <w:rsid w:val="004C2185"/>
    <w:rsid w:val="004C4974"/>
    <w:rsid w:val="004C5948"/>
    <w:rsid w:val="004C6D5D"/>
    <w:rsid w:val="004D3811"/>
    <w:rsid w:val="004D49DC"/>
    <w:rsid w:val="004D56C0"/>
    <w:rsid w:val="004D5D73"/>
    <w:rsid w:val="004D6537"/>
    <w:rsid w:val="004D7CB8"/>
    <w:rsid w:val="004E0398"/>
    <w:rsid w:val="004E2C5F"/>
    <w:rsid w:val="004E34B0"/>
    <w:rsid w:val="004E3AE4"/>
    <w:rsid w:val="004E4382"/>
    <w:rsid w:val="004E456E"/>
    <w:rsid w:val="004E5137"/>
    <w:rsid w:val="004F1837"/>
    <w:rsid w:val="004F2604"/>
    <w:rsid w:val="004F2FD8"/>
    <w:rsid w:val="004F4086"/>
    <w:rsid w:val="004F41B6"/>
    <w:rsid w:val="004F428E"/>
    <w:rsid w:val="004F571D"/>
    <w:rsid w:val="005005DF"/>
    <w:rsid w:val="005041DA"/>
    <w:rsid w:val="005047DD"/>
    <w:rsid w:val="0050745C"/>
    <w:rsid w:val="00510322"/>
    <w:rsid w:val="005108D5"/>
    <w:rsid w:val="00512165"/>
    <w:rsid w:val="00515A12"/>
    <w:rsid w:val="00516861"/>
    <w:rsid w:val="00517216"/>
    <w:rsid w:val="00517475"/>
    <w:rsid w:val="00517DE7"/>
    <w:rsid w:val="00521E35"/>
    <w:rsid w:val="00522088"/>
    <w:rsid w:val="00524228"/>
    <w:rsid w:val="00525306"/>
    <w:rsid w:val="005254B6"/>
    <w:rsid w:val="00526099"/>
    <w:rsid w:val="00531FC8"/>
    <w:rsid w:val="0053226D"/>
    <w:rsid w:val="0053307C"/>
    <w:rsid w:val="00534E00"/>
    <w:rsid w:val="005354D8"/>
    <w:rsid w:val="00536EB3"/>
    <w:rsid w:val="00540CE1"/>
    <w:rsid w:val="00541603"/>
    <w:rsid w:val="00542B9A"/>
    <w:rsid w:val="00543962"/>
    <w:rsid w:val="005439AF"/>
    <w:rsid w:val="00544CAF"/>
    <w:rsid w:val="0054546F"/>
    <w:rsid w:val="0055015E"/>
    <w:rsid w:val="0055271C"/>
    <w:rsid w:val="00553209"/>
    <w:rsid w:val="00553215"/>
    <w:rsid w:val="00556868"/>
    <w:rsid w:val="00557DC9"/>
    <w:rsid w:val="00560368"/>
    <w:rsid w:val="0056255C"/>
    <w:rsid w:val="0056410C"/>
    <w:rsid w:val="00566BFF"/>
    <w:rsid w:val="00567FC6"/>
    <w:rsid w:val="00573AD9"/>
    <w:rsid w:val="00574265"/>
    <w:rsid w:val="0057439A"/>
    <w:rsid w:val="005847AA"/>
    <w:rsid w:val="0058559E"/>
    <w:rsid w:val="00586529"/>
    <w:rsid w:val="00586932"/>
    <w:rsid w:val="0058726F"/>
    <w:rsid w:val="00591557"/>
    <w:rsid w:val="005A021C"/>
    <w:rsid w:val="005A096C"/>
    <w:rsid w:val="005A1B11"/>
    <w:rsid w:val="005A2034"/>
    <w:rsid w:val="005A2F7F"/>
    <w:rsid w:val="005A307B"/>
    <w:rsid w:val="005A345A"/>
    <w:rsid w:val="005A405B"/>
    <w:rsid w:val="005A4AEB"/>
    <w:rsid w:val="005B0BD5"/>
    <w:rsid w:val="005B313F"/>
    <w:rsid w:val="005B340D"/>
    <w:rsid w:val="005B36B1"/>
    <w:rsid w:val="005B3C2B"/>
    <w:rsid w:val="005B75A5"/>
    <w:rsid w:val="005C094D"/>
    <w:rsid w:val="005C127A"/>
    <w:rsid w:val="005C14A9"/>
    <w:rsid w:val="005C21B0"/>
    <w:rsid w:val="005C26CF"/>
    <w:rsid w:val="005C4447"/>
    <w:rsid w:val="005C47D7"/>
    <w:rsid w:val="005C7B2B"/>
    <w:rsid w:val="005D20DB"/>
    <w:rsid w:val="005D2641"/>
    <w:rsid w:val="005D44C9"/>
    <w:rsid w:val="005E144D"/>
    <w:rsid w:val="005E1BC0"/>
    <w:rsid w:val="005E2AB9"/>
    <w:rsid w:val="005E2BDA"/>
    <w:rsid w:val="005E3296"/>
    <w:rsid w:val="005E379D"/>
    <w:rsid w:val="005E3F25"/>
    <w:rsid w:val="005E59D8"/>
    <w:rsid w:val="005E62AE"/>
    <w:rsid w:val="005E71DD"/>
    <w:rsid w:val="005F0C49"/>
    <w:rsid w:val="005F2C57"/>
    <w:rsid w:val="005F48A1"/>
    <w:rsid w:val="005F4F72"/>
    <w:rsid w:val="005F5A88"/>
    <w:rsid w:val="005F5B97"/>
    <w:rsid w:val="005F7442"/>
    <w:rsid w:val="005F7700"/>
    <w:rsid w:val="005F783D"/>
    <w:rsid w:val="006014EA"/>
    <w:rsid w:val="00602AA6"/>
    <w:rsid w:val="00602AD7"/>
    <w:rsid w:val="006031FE"/>
    <w:rsid w:val="006033D4"/>
    <w:rsid w:val="006061B6"/>
    <w:rsid w:val="00606E99"/>
    <w:rsid w:val="00611C03"/>
    <w:rsid w:val="00613C00"/>
    <w:rsid w:val="0061536C"/>
    <w:rsid w:val="0061687C"/>
    <w:rsid w:val="00617C5E"/>
    <w:rsid w:val="00621772"/>
    <w:rsid w:val="006217C8"/>
    <w:rsid w:val="00621A57"/>
    <w:rsid w:val="00621D5A"/>
    <w:rsid w:val="006232C9"/>
    <w:rsid w:val="00624698"/>
    <w:rsid w:val="006247D1"/>
    <w:rsid w:val="006272BF"/>
    <w:rsid w:val="00627743"/>
    <w:rsid w:val="00630675"/>
    <w:rsid w:val="0063097C"/>
    <w:rsid w:val="00631BF7"/>
    <w:rsid w:val="00632694"/>
    <w:rsid w:val="0063347B"/>
    <w:rsid w:val="00635FB6"/>
    <w:rsid w:val="00637E97"/>
    <w:rsid w:val="00640993"/>
    <w:rsid w:val="00642B44"/>
    <w:rsid w:val="006470FF"/>
    <w:rsid w:val="006472A1"/>
    <w:rsid w:val="00651DF1"/>
    <w:rsid w:val="00652105"/>
    <w:rsid w:val="006602E2"/>
    <w:rsid w:val="00661CC0"/>
    <w:rsid w:val="00665918"/>
    <w:rsid w:val="00665CC5"/>
    <w:rsid w:val="00666709"/>
    <w:rsid w:val="00667114"/>
    <w:rsid w:val="00667225"/>
    <w:rsid w:val="00670567"/>
    <w:rsid w:val="006705B0"/>
    <w:rsid w:val="0067181E"/>
    <w:rsid w:val="00672292"/>
    <w:rsid w:val="00672E52"/>
    <w:rsid w:val="00672F26"/>
    <w:rsid w:val="0067333E"/>
    <w:rsid w:val="006746A7"/>
    <w:rsid w:val="006753A1"/>
    <w:rsid w:val="0067675D"/>
    <w:rsid w:val="006821DC"/>
    <w:rsid w:val="006839A0"/>
    <w:rsid w:val="006842B2"/>
    <w:rsid w:val="006908E6"/>
    <w:rsid w:val="00691DDE"/>
    <w:rsid w:val="00693401"/>
    <w:rsid w:val="00693B35"/>
    <w:rsid w:val="00693E88"/>
    <w:rsid w:val="00695F40"/>
    <w:rsid w:val="0069676D"/>
    <w:rsid w:val="00697439"/>
    <w:rsid w:val="006A0A6D"/>
    <w:rsid w:val="006A1B66"/>
    <w:rsid w:val="006A2463"/>
    <w:rsid w:val="006A2D23"/>
    <w:rsid w:val="006A5AFB"/>
    <w:rsid w:val="006A7255"/>
    <w:rsid w:val="006A7507"/>
    <w:rsid w:val="006B08D4"/>
    <w:rsid w:val="006B39FF"/>
    <w:rsid w:val="006B471B"/>
    <w:rsid w:val="006B6A42"/>
    <w:rsid w:val="006B7311"/>
    <w:rsid w:val="006C477B"/>
    <w:rsid w:val="006C5343"/>
    <w:rsid w:val="006C64D3"/>
    <w:rsid w:val="006C7089"/>
    <w:rsid w:val="006C7923"/>
    <w:rsid w:val="006C7924"/>
    <w:rsid w:val="006C798B"/>
    <w:rsid w:val="006D0F20"/>
    <w:rsid w:val="006D208A"/>
    <w:rsid w:val="006D45FA"/>
    <w:rsid w:val="006D5500"/>
    <w:rsid w:val="006D5C07"/>
    <w:rsid w:val="006D7B06"/>
    <w:rsid w:val="006E1285"/>
    <w:rsid w:val="006E150E"/>
    <w:rsid w:val="006E1FD8"/>
    <w:rsid w:val="006E4AC6"/>
    <w:rsid w:val="006E6814"/>
    <w:rsid w:val="006E6A9F"/>
    <w:rsid w:val="006E6AE4"/>
    <w:rsid w:val="006E7259"/>
    <w:rsid w:val="006F120D"/>
    <w:rsid w:val="006F1D50"/>
    <w:rsid w:val="006F31BE"/>
    <w:rsid w:val="006F3F07"/>
    <w:rsid w:val="006F467A"/>
    <w:rsid w:val="00700ADF"/>
    <w:rsid w:val="0070281E"/>
    <w:rsid w:val="0070396B"/>
    <w:rsid w:val="00704121"/>
    <w:rsid w:val="0070429F"/>
    <w:rsid w:val="00704CB5"/>
    <w:rsid w:val="00705FF5"/>
    <w:rsid w:val="007067E7"/>
    <w:rsid w:val="00710CB7"/>
    <w:rsid w:val="007201A5"/>
    <w:rsid w:val="00721623"/>
    <w:rsid w:val="00722198"/>
    <w:rsid w:val="007222FD"/>
    <w:rsid w:val="00722969"/>
    <w:rsid w:val="007233F8"/>
    <w:rsid w:val="007235D7"/>
    <w:rsid w:val="00724126"/>
    <w:rsid w:val="00724BAC"/>
    <w:rsid w:val="0072706C"/>
    <w:rsid w:val="0072764C"/>
    <w:rsid w:val="00730C87"/>
    <w:rsid w:val="00730CB7"/>
    <w:rsid w:val="00731173"/>
    <w:rsid w:val="00733C3F"/>
    <w:rsid w:val="007371D5"/>
    <w:rsid w:val="00741903"/>
    <w:rsid w:val="00741C57"/>
    <w:rsid w:val="00742548"/>
    <w:rsid w:val="0074656C"/>
    <w:rsid w:val="00747E1E"/>
    <w:rsid w:val="00750145"/>
    <w:rsid w:val="00751170"/>
    <w:rsid w:val="007519D9"/>
    <w:rsid w:val="00751BA0"/>
    <w:rsid w:val="00751E68"/>
    <w:rsid w:val="00752113"/>
    <w:rsid w:val="0075271D"/>
    <w:rsid w:val="00755401"/>
    <w:rsid w:val="00756610"/>
    <w:rsid w:val="00760133"/>
    <w:rsid w:val="0076151F"/>
    <w:rsid w:val="00762677"/>
    <w:rsid w:val="00765B4B"/>
    <w:rsid w:val="00765ECB"/>
    <w:rsid w:val="0076693E"/>
    <w:rsid w:val="007679CC"/>
    <w:rsid w:val="0077291C"/>
    <w:rsid w:val="00774337"/>
    <w:rsid w:val="00776745"/>
    <w:rsid w:val="0077738B"/>
    <w:rsid w:val="00780F14"/>
    <w:rsid w:val="00781038"/>
    <w:rsid w:val="00781DA5"/>
    <w:rsid w:val="00783FE6"/>
    <w:rsid w:val="00784797"/>
    <w:rsid w:val="007849C8"/>
    <w:rsid w:val="00784C24"/>
    <w:rsid w:val="007860B1"/>
    <w:rsid w:val="0078645D"/>
    <w:rsid w:val="00786B95"/>
    <w:rsid w:val="00786E99"/>
    <w:rsid w:val="00787990"/>
    <w:rsid w:val="00787DE8"/>
    <w:rsid w:val="0079003E"/>
    <w:rsid w:val="00790154"/>
    <w:rsid w:val="00790E8A"/>
    <w:rsid w:val="0079137D"/>
    <w:rsid w:val="00797357"/>
    <w:rsid w:val="007A2494"/>
    <w:rsid w:val="007A30DC"/>
    <w:rsid w:val="007A3167"/>
    <w:rsid w:val="007A38DF"/>
    <w:rsid w:val="007A420E"/>
    <w:rsid w:val="007A5C90"/>
    <w:rsid w:val="007A61CC"/>
    <w:rsid w:val="007A68BE"/>
    <w:rsid w:val="007A72AA"/>
    <w:rsid w:val="007A791F"/>
    <w:rsid w:val="007A7944"/>
    <w:rsid w:val="007A7991"/>
    <w:rsid w:val="007B10DF"/>
    <w:rsid w:val="007B1A93"/>
    <w:rsid w:val="007B1E81"/>
    <w:rsid w:val="007B331A"/>
    <w:rsid w:val="007B3D8C"/>
    <w:rsid w:val="007B5A11"/>
    <w:rsid w:val="007B751D"/>
    <w:rsid w:val="007C09AF"/>
    <w:rsid w:val="007C0C81"/>
    <w:rsid w:val="007C7DF7"/>
    <w:rsid w:val="007D17F2"/>
    <w:rsid w:val="007D29AB"/>
    <w:rsid w:val="007D37F3"/>
    <w:rsid w:val="007D3F33"/>
    <w:rsid w:val="007D7FBC"/>
    <w:rsid w:val="007E14F9"/>
    <w:rsid w:val="007E1A7D"/>
    <w:rsid w:val="007E4047"/>
    <w:rsid w:val="007E5A9B"/>
    <w:rsid w:val="007E610B"/>
    <w:rsid w:val="007F2441"/>
    <w:rsid w:val="007F395F"/>
    <w:rsid w:val="007F469A"/>
    <w:rsid w:val="007F57AA"/>
    <w:rsid w:val="007F6352"/>
    <w:rsid w:val="008017AD"/>
    <w:rsid w:val="008023CC"/>
    <w:rsid w:val="00802BDA"/>
    <w:rsid w:val="00803378"/>
    <w:rsid w:val="0080359C"/>
    <w:rsid w:val="00803FC6"/>
    <w:rsid w:val="0080463F"/>
    <w:rsid w:val="0080745A"/>
    <w:rsid w:val="0081177A"/>
    <w:rsid w:val="00811FC6"/>
    <w:rsid w:val="008135A6"/>
    <w:rsid w:val="0081367E"/>
    <w:rsid w:val="00813E6B"/>
    <w:rsid w:val="00815310"/>
    <w:rsid w:val="0081574F"/>
    <w:rsid w:val="00815762"/>
    <w:rsid w:val="00816012"/>
    <w:rsid w:val="00817213"/>
    <w:rsid w:val="00817588"/>
    <w:rsid w:val="00817853"/>
    <w:rsid w:val="00817FB6"/>
    <w:rsid w:val="00820EED"/>
    <w:rsid w:val="00821448"/>
    <w:rsid w:val="00821CC9"/>
    <w:rsid w:val="00822335"/>
    <w:rsid w:val="00823545"/>
    <w:rsid w:val="00827285"/>
    <w:rsid w:val="0082744D"/>
    <w:rsid w:val="0083006B"/>
    <w:rsid w:val="0083073D"/>
    <w:rsid w:val="00831244"/>
    <w:rsid w:val="00831D7D"/>
    <w:rsid w:val="00833754"/>
    <w:rsid w:val="00833EB8"/>
    <w:rsid w:val="00833F52"/>
    <w:rsid w:val="00840025"/>
    <w:rsid w:val="00840225"/>
    <w:rsid w:val="00840497"/>
    <w:rsid w:val="008418FC"/>
    <w:rsid w:val="00841B12"/>
    <w:rsid w:val="00841BE2"/>
    <w:rsid w:val="00843820"/>
    <w:rsid w:val="00843F13"/>
    <w:rsid w:val="00844477"/>
    <w:rsid w:val="00846568"/>
    <w:rsid w:val="00846B2A"/>
    <w:rsid w:val="0085055A"/>
    <w:rsid w:val="0085071B"/>
    <w:rsid w:val="00852225"/>
    <w:rsid w:val="00854AC4"/>
    <w:rsid w:val="00854D4C"/>
    <w:rsid w:val="00855678"/>
    <w:rsid w:val="0085737E"/>
    <w:rsid w:val="00860B57"/>
    <w:rsid w:val="00861418"/>
    <w:rsid w:val="008615B5"/>
    <w:rsid w:val="008617C5"/>
    <w:rsid w:val="00861BBF"/>
    <w:rsid w:val="0086238D"/>
    <w:rsid w:val="00862FAB"/>
    <w:rsid w:val="008653BC"/>
    <w:rsid w:val="008655FC"/>
    <w:rsid w:val="00866610"/>
    <w:rsid w:val="0086697A"/>
    <w:rsid w:val="00867841"/>
    <w:rsid w:val="00874CE6"/>
    <w:rsid w:val="00874E56"/>
    <w:rsid w:val="00875B97"/>
    <w:rsid w:val="00875B9D"/>
    <w:rsid w:val="00875F4F"/>
    <w:rsid w:val="00877C4E"/>
    <w:rsid w:val="00880116"/>
    <w:rsid w:val="008806A9"/>
    <w:rsid w:val="008809D6"/>
    <w:rsid w:val="00880AD7"/>
    <w:rsid w:val="00882EAA"/>
    <w:rsid w:val="008843FE"/>
    <w:rsid w:val="00887D31"/>
    <w:rsid w:val="0089567E"/>
    <w:rsid w:val="00895E6A"/>
    <w:rsid w:val="00895E8F"/>
    <w:rsid w:val="0089657A"/>
    <w:rsid w:val="00896E61"/>
    <w:rsid w:val="0089721E"/>
    <w:rsid w:val="008972B1"/>
    <w:rsid w:val="00897840"/>
    <w:rsid w:val="008A067B"/>
    <w:rsid w:val="008A3893"/>
    <w:rsid w:val="008A439B"/>
    <w:rsid w:val="008A62BF"/>
    <w:rsid w:val="008B09F0"/>
    <w:rsid w:val="008B26B6"/>
    <w:rsid w:val="008B282E"/>
    <w:rsid w:val="008B4B29"/>
    <w:rsid w:val="008C179D"/>
    <w:rsid w:val="008C1B96"/>
    <w:rsid w:val="008C3BBF"/>
    <w:rsid w:val="008C49DE"/>
    <w:rsid w:val="008C4C65"/>
    <w:rsid w:val="008C4E74"/>
    <w:rsid w:val="008C6684"/>
    <w:rsid w:val="008D1A35"/>
    <w:rsid w:val="008D2C6F"/>
    <w:rsid w:val="008D2CD0"/>
    <w:rsid w:val="008D475B"/>
    <w:rsid w:val="008D4932"/>
    <w:rsid w:val="008D52DE"/>
    <w:rsid w:val="008D5A73"/>
    <w:rsid w:val="008D62F6"/>
    <w:rsid w:val="008D66C4"/>
    <w:rsid w:val="008D76CE"/>
    <w:rsid w:val="008E48F2"/>
    <w:rsid w:val="008E5822"/>
    <w:rsid w:val="008E69D4"/>
    <w:rsid w:val="008E7050"/>
    <w:rsid w:val="008F327C"/>
    <w:rsid w:val="008F4465"/>
    <w:rsid w:val="008F46FA"/>
    <w:rsid w:val="008F4975"/>
    <w:rsid w:val="008F5285"/>
    <w:rsid w:val="008F706A"/>
    <w:rsid w:val="008F714A"/>
    <w:rsid w:val="0090103D"/>
    <w:rsid w:val="009041F2"/>
    <w:rsid w:val="00910AB7"/>
    <w:rsid w:val="00910D50"/>
    <w:rsid w:val="00910E77"/>
    <w:rsid w:val="009111E2"/>
    <w:rsid w:val="009126B7"/>
    <w:rsid w:val="00912EBC"/>
    <w:rsid w:val="00912F3B"/>
    <w:rsid w:val="00913AD7"/>
    <w:rsid w:val="00913B97"/>
    <w:rsid w:val="00917C25"/>
    <w:rsid w:val="00920A33"/>
    <w:rsid w:val="00921E7C"/>
    <w:rsid w:val="00922238"/>
    <w:rsid w:val="0092323C"/>
    <w:rsid w:val="00924174"/>
    <w:rsid w:val="0092551B"/>
    <w:rsid w:val="00925C14"/>
    <w:rsid w:val="009311E9"/>
    <w:rsid w:val="009317F8"/>
    <w:rsid w:val="0093184B"/>
    <w:rsid w:val="00931EB4"/>
    <w:rsid w:val="00932885"/>
    <w:rsid w:val="0093631F"/>
    <w:rsid w:val="00936A82"/>
    <w:rsid w:val="0093735F"/>
    <w:rsid w:val="00937DDF"/>
    <w:rsid w:val="00940095"/>
    <w:rsid w:val="0094054F"/>
    <w:rsid w:val="00941BEE"/>
    <w:rsid w:val="00941F1E"/>
    <w:rsid w:val="00942687"/>
    <w:rsid w:val="00942B03"/>
    <w:rsid w:val="009446CB"/>
    <w:rsid w:val="0094663B"/>
    <w:rsid w:val="00946D41"/>
    <w:rsid w:val="00947DB0"/>
    <w:rsid w:val="009505E1"/>
    <w:rsid w:val="009511D3"/>
    <w:rsid w:val="00952A4B"/>
    <w:rsid w:val="0095300C"/>
    <w:rsid w:val="00955514"/>
    <w:rsid w:val="00955C0E"/>
    <w:rsid w:val="009607F6"/>
    <w:rsid w:val="0096110B"/>
    <w:rsid w:val="00961648"/>
    <w:rsid w:val="00962B2D"/>
    <w:rsid w:val="00962E50"/>
    <w:rsid w:val="00966981"/>
    <w:rsid w:val="009669D8"/>
    <w:rsid w:val="009671A2"/>
    <w:rsid w:val="00967577"/>
    <w:rsid w:val="00970A3B"/>
    <w:rsid w:val="00970DDE"/>
    <w:rsid w:val="00971286"/>
    <w:rsid w:val="00973293"/>
    <w:rsid w:val="009751AF"/>
    <w:rsid w:val="009768F5"/>
    <w:rsid w:val="00980A3E"/>
    <w:rsid w:val="009818AC"/>
    <w:rsid w:val="00982EF5"/>
    <w:rsid w:val="00983853"/>
    <w:rsid w:val="00984CDA"/>
    <w:rsid w:val="009878B8"/>
    <w:rsid w:val="00987B76"/>
    <w:rsid w:val="00990A34"/>
    <w:rsid w:val="009914E0"/>
    <w:rsid w:val="00992340"/>
    <w:rsid w:val="00993762"/>
    <w:rsid w:val="009938A5"/>
    <w:rsid w:val="009940EB"/>
    <w:rsid w:val="009957CC"/>
    <w:rsid w:val="00996C50"/>
    <w:rsid w:val="009970B5"/>
    <w:rsid w:val="009A04A3"/>
    <w:rsid w:val="009A24C6"/>
    <w:rsid w:val="009A421E"/>
    <w:rsid w:val="009A57AB"/>
    <w:rsid w:val="009B28E3"/>
    <w:rsid w:val="009B2BA5"/>
    <w:rsid w:val="009B3DDA"/>
    <w:rsid w:val="009B4230"/>
    <w:rsid w:val="009B4823"/>
    <w:rsid w:val="009B53CF"/>
    <w:rsid w:val="009B62E5"/>
    <w:rsid w:val="009C082E"/>
    <w:rsid w:val="009C118A"/>
    <w:rsid w:val="009C3098"/>
    <w:rsid w:val="009C32D3"/>
    <w:rsid w:val="009C4876"/>
    <w:rsid w:val="009C6988"/>
    <w:rsid w:val="009C6B1A"/>
    <w:rsid w:val="009D1667"/>
    <w:rsid w:val="009D1AEA"/>
    <w:rsid w:val="009D59FB"/>
    <w:rsid w:val="009D6B97"/>
    <w:rsid w:val="009D6ED2"/>
    <w:rsid w:val="009D76B6"/>
    <w:rsid w:val="009E0412"/>
    <w:rsid w:val="009E0A2B"/>
    <w:rsid w:val="009E33DE"/>
    <w:rsid w:val="009E3A93"/>
    <w:rsid w:val="009E3F7D"/>
    <w:rsid w:val="009E5F5D"/>
    <w:rsid w:val="009F031F"/>
    <w:rsid w:val="009F032D"/>
    <w:rsid w:val="009F228F"/>
    <w:rsid w:val="009F4893"/>
    <w:rsid w:val="009F54CE"/>
    <w:rsid w:val="009F6C49"/>
    <w:rsid w:val="00A01761"/>
    <w:rsid w:val="00A0228A"/>
    <w:rsid w:val="00A0265E"/>
    <w:rsid w:val="00A03945"/>
    <w:rsid w:val="00A03DE8"/>
    <w:rsid w:val="00A04367"/>
    <w:rsid w:val="00A04E2F"/>
    <w:rsid w:val="00A054D1"/>
    <w:rsid w:val="00A10D92"/>
    <w:rsid w:val="00A126FD"/>
    <w:rsid w:val="00A12CCA"/>
    <w:rsid w:val="00A1333E"/>
    <w:rsid w:val="00A13B3B"/>
    <w:rsid w:val="00A1450E"/>
    <w:rsid w:val="00A14888"/>
    <w:rsid w:val="00A16756"/>
    <w:rsid w:val="00A176B2"/>
    <w:rsid w:val="00A20142"/>
    <w:rsid w:val="00A20481"/>
    <w:rsid w:val="00A22FE7"/>
    <w:rsid w:val="00A2306D"/>
    <w:rsid w:val="00A23E81"/>
    <w:rsid w:val="00A24CA6"/>
    <w:rsid w:val="00A258F6"/>
    <w:rsid w:val="00A26130"/>
    <w:rsid w:val="00A27205"/>
    <w:rsid w:val="00A30039"/>
    <w:rsid w:val="00A32DF2"/>
    <w:rsid w:val="00A3320E"/>
    <w:rsid w:val="00A33A67"/>
    <w:rsid w:val="00A34711"/>
    <w:rsid w:val="00A349EA"/>
    <w:rsid w:val="00A353E0"/>
    <w:rsid w:val="00A41C85"/>
    <w:rsid w:val="00A41D7E"/>
    <w:rsid w:val="00A431FA"/>
    <w:rsid w:val="00A46B60"/>
    <w:rsid w:val="00A474D8"/>
    <w:rsid w:val="00A50C93"/>
    <w:rsid w:val="00A53C1B"/>
    <w:rsid w:val="00A54AFB"/>
    <w:rsid w:val="00A54FF3"/>
    <w:rsid w:val="00A55540"/>
    <w:rsid w:val="00A5618B"/>
    <w:rsid w:val="00A601EE"/>
    <w:rsid w:val="00A60A38"/>
    <w:rsid w:val="00A60AB0"/>
    <w:rsid w:val="00A62AF8"/>
    <w:rsid w:val="00A62F86"/>
    <w:rsid w:val="00A63F2A"/>
    <w:rsid w:val="00A6406E"/>
    <w:rsid w:val="00A65B8F"/>
    <w:rsid w:val="00A6781B"/>
    <w:rsid w:val="00A73145"/>
    <w:rsid w:val="00A73AB9"/>
    <w:rsid w:val="00A7475B"/>
    <w:rsid w:val="00A748BF"/>
    <w:rsid w:val="00A7533A"/>
    <w:rsid w:val="00A805AE"/>
    <w:rsid w:val="00A81252"/>
    <w:rsid w:val="00A82C41"/>
    <w:rsid w:val="00A83CBA"/>
    <w:rsid w:val="00A86FDB"/>
    <w:rsid w:val="00A87D10"/>
    <w:rsid w:val="00A92946"/>
    <w:rsid w:val="00A930F0"/>
    <w:rsid w:val="00A94F07"/>
    <w:rsid w:val="00A96E38"/>
    <w:rsid w:val="00AA0AF8"/>
    <w:rsid w:val="00AA2395"/>
    <w:rsid w:val="00AA5CE3"/>
    <w:rsid w:val="00AA63DF"/>
    <w:rsid w:val="00AA6522"/>
    <w:rsid w:val="00AA6B22"/>
    <w:rsid w:val="00AB11CE"/>
    <w:rsid w:val="00AB140D"/>
    <w:rsid w:val="00AB17DD"/>
    <w:rsid w:val="00AB2A0E"/>
    <w:rsid w:val="00AB30C3"/>
    <w:rsid w:val="00AB39F9"/>
    <w:rsid w:val="00AB7FC4"/>
    <w:rsid w:val="00AC0E2E"/>
    <w:rsid w:val="00AC1A80"/>
    <w:rsid w:val="00AC2EF3"/>
    <w:rsid w:val="00AC47A3"/>
    <w:rsid w:val="00AC567E"/>
    <w:rsid w:val="00AC6461"/>
    <w:rsid w:val="00AD33B4"/>
    <w:rsid w:val="00AD541F"/>
    <w:rsid w:val="00AD5C63"/>
    <w:rsid w:val="00AD5F3B"/>
    <w:rsid w:val="00AD6B68"/>
    <w:rsid w:val="00AD6C08"/>
    <w:rsid w:val="00AD783C"/>
    <w:rsid w:val="00AE001C"/>
    <w:rsid w:val="00AE0D7B"/>
    <w:rsid w:val="00AE1537"/>
    <w:rsid w:val="00AE30F4"/>
    <w:rsid w:val="00AE351E"/>
    <w:rsid w:val="00AE48A4"/>
    <w:rsid w:val="00AE569A"/>
    <w:rsid w:val="00AF0A45"/>
    <w:rsid w:val="00AF1AA9"/>
    <w:rsid w:val="00AF3870"/>
    <w:rsid w:val="00AF3E04"/>
    <w:rsid w:val="00AF412A"/>
    <w:rsid w:val="00AF4AA1"/>
    <w:rsid w:val="00AF54DC"/>
    <w:rsid w:val="00AF5BD7"/>
    <w:rsid w:val="00B00397"/>
    <w:rsid w:val="00B01AA8"/>
    <w:rsid w:val="00B02E79"/>
    <w:rsid w:val="00B059FD"/>
    <w:rsid w:val="00B05CF4"/>
    <w:rsid w:val="00B05F23"/>
    <w:rsid w:val="00B07559"/>
    <w:rsid w:val="00B10CED"/>
    <w:rsid w:val="00B11C73"/>
    <w:rsid w:val="00B129BB"/>
    <w:rsid w:val="00B12D8F"/>
    <w:rsid w:val="00B13E18"/>
    <w:rsid w:val="00B14630"/>
    <w:rsid w:val="00B170B8"/>
    <w:rsid w:val="00B17EA5"/>
    <w:rsid w:val="00B20C1F"/>
    <w:rsid w:val="00B21321"/>
    <w:rsid w:val="00B2157F"/>
    <w:rsid w:val="00B22031"/>
    <w:rsid w:val="00B2340E"/>
    <w:rsid w:val="00B23587"/>
    <w:rsid w:val="00B24569"/>
    <w:rsid w:val="00B25A80"/>
    <w:rsid w:val="00B26C0E"/>
    <w:rsid w:val="00B27A76"/>
    <w:rsid w:val="00B27C55"/>
    <w:rsid w:val="00B27C9F"/>
    <w:rsid w:val="00B30845"/>
    <w:rsid w:val="00B31BF9"/>
    <w:rsid w:val="00B33CA3"/>
    <w:rsid w:val="00B34612"/>
    <w:rsid w:val="00B3518C"/>
    <w:rsid w:val="00B3541F"/>
    <w:rsid w:val="00B359F3"/>
    <w:rsid w:val="00B35AD5"/>
    <w:rsid w:val="00B36C47"/>
    <w:rsid w:val="00B402D2"/>
    <w:rsid w:val="00B411AB"/>
    <w:rsid w:val="00B41277"/>
    <w:rsid w:val="00B420CE"/>
    <w:rsid w:val="00B44079"/>
    <w:rsid w:val="00B44887"/>
    <w:rsid w:val="00B45954"/>
    <w:rsid w:val="00B46CC3"/>
    <w:rsid w:val="00B47B0E"/>
    <w:rsid w:val="00B503F1"/>
    <w:rsid w:val="00B50C58"/>
    <w:rsid w:val="00B52950"/>
    <w:rsid w:val="00B52D6B"/>
    <w:rsid w:val="00B53202"/>
    <w:rsid w:val="00B5409F"/>
    <w:rsid w:val="00B54C62"/>
    <w:rsid w:val="00B552C5"/>
    <w:rsid w:val="00B55B6D"/>
    <w:rsid w:val="00B55D84"/>
    <w:rsid w:val="00B60E16"/>
    <w:rsid w:val="00B65397"/>
    <w:rsid w:val="00B653F8"/>
    <w:rsid w:val="00B66613"/>
    <w:rsid w:val="00B66D6C"/>
    <w:rsid w:val="00B7015A"/>
    <w:rsid w:val="00B721BB"/>
    <w:rsid w:val="00B7251A"/>
    <w:rsid w:val="00B73090"/>
    <w:rsid w:val="00B73E3F"/>
    <w:rsid w:val="00B82077"/>
    <w:rsid w:val="00B83DD9"/>
    <w:rsid w:val="00B86D8A"/>
    <w:rsid w:val="00B86FFC"/>
    <w:rsid w:val="00B92227"/>
    <w:rsid w:val="00B94CF6"/>
    <w:rsid w:val="00B95259"/>
    <w:rsid w:val="00B97171"/>
    <w:rsid w:val="00BA0141"/>
    <w:rsid w:val="00BA0654"/>
    <w:rsid w:val="00BA0F83"/>
    <w:rsid w:val="00BA1182"/>
    <w:rsid w:val="00BA1A24"/>
    <w:rsid w:val="00BA24F3"/>
    <w:rsid w:val="00BA393F"/>
    <w:rsid w:val="00BA4910"/>
    <w:rsid w:val="00BA69A9"/>
    <w:rsid w:val="00BB0370"/>
    <w:rsid w:val="00BB03A4"/>
    <w:rsid w:val="00BB1082"/>
    <w:rsid w:val="00BB3DD4"/>
    <w:rsid w:val="00BB4928"/>
    <w:rsid w:val="00BB4A51"/>
    <w:rsid w:val="00BB58C0"/>
    <w:rsid w:val="00BB5955"/>
    <w:rsid w:val="00BB6E92"/>
    <w:rsid w:val="00BB7F7C"/>
    <w:rsid w:val="00BC2BC9"/>
    <w:rsid w:val="00BC49C7"/>
    <w:rsid w:val="00BC6E2D"/>
    <w:rsid w:val="00BC6FEA"/>
    <w:rsid w:val="00BC777B"/>
    <w:rsid w:val="00BD25ED"/>
    <w:rsid w:val="00BD2783"/>
    <w:rsid w:val="00BD2A0F"/>
    <w:rsid w:val="00BD3F4B"/>
    <w:rsid w:val="00BD4034"/>
    <w:rsid w:val="00BD48A2"/>
    <w:rsid w:val="00BD6CB0"/>
    <w:rsid w:val="00BD7BFD"/>
    <w:rsid w:val="00BD7D24"/>
    <w:rsid w:val="00BE0111"/>
    <w:rsid w:val="00BE0BB9"/>
    <w:rsid w:val="00BE2CD0"/>
    <w:rsid w:val="00BE3485"/>
    <w:rsid w:val="00BE4591"/>
    <w:rsid w:val="00BE4745"/>
    <w:rsid w:val="00BE5254"/>
    <w:rsid w:val="00BE72D3"/>
    <w:rsid w:val="00BF1D87"/>
    <w:rsid w:val="00BF2213"/>
    <w:rsid w:val="00BF34F4"/>
    <w:rsid w:val="00BF3BE3"/>
    <w:rsid w:val="00BF3FB8"/>
    <w:rsid w:val="00BF407E"/>
    <w:rsid w:val="00BF4A07"/>
    <w:rsid w:val="00BF4D0F"/>
    <w:rsid w:val="00BF6C58"/>
    <w:rsid w:val="00BF7854"/>
    <w:rsid w:val="00BF7B34"/>
    <w:rsid w:val="00C0022B"/>
    <w:rsid w:val="00C00C4F"/>
    <w:rsid w:val="00C01DCF"/>
    <w:rsid w:val="00C029CD"/>
    <w:rsid w:val="00C03750"/>
    <w:rsid w:val="00C04B00"/>
    <w:rsid w:val="00C051AB"/>
    <w:rsid w:val="00C054A9"/>
    <w:rsid w:val="00C05E33"/>
    <w:rsid w:val="00C063AD"/>
    <w:rsid w:val="00C065B6"/>
    <w:rsid w:val="00C06C8E"/>
    <w:rsid w:val="00C06E96"/>
    <w:rsid w:val="00C10EBB"/>
    <w:rsid w:val="00C12516"/>
    <w:rsid w:val="00C13AF6"/>
    <w:rsid w:val="00C16B60"/>
    <w:rsid w:val="00C20356"/>
    <w:rsid w:val="00C22006"/>
    <w:rsid w:val="00C2237B"/>
    <w:rsid w:val="00C235AC"/>
    <w:rsid w:val="00C24939"/>
    <w:rsid w:val="00C30998"/>
    <w:rsid w:val="00C31C66"/>
    <w:rsid w:val="00C33A58"/>
    <w:rsid w:val="00C34C14"/>
    <w:rsid w:val="00C35271"/>
    <w:rsid w:val="00C35C8C"/>
    <w:rsid w:val="00C36893"/>
    <w:rsid w:val="00C406AD"/>
    <w:rsid w:val="00C419C8"/>
    <w:rsid w:val="00C432E1"/>
    <w:rsid w:val="00C44036"/>
    <w:rsid w:val="00C44F5C"/>
    <w:rsid w:val="00C455B8"/>
    <w:rsid w:val="00C46CFE"/>
    <w:rsid w:val="00C47470"/>
    <w:rsid w:val="00C47970"/>
    <w:rsid w:val="00C50379"/>
    <w:rsid w:val="00C5043D"/>
    <w:rsid w:val="00C515E8"/>
    <w:rsid w:val="00C518F1"/>
    <w:rsid w:val="00C5214E"/>
    <w:rsid w:val="00C52346"/>
    <w:rsid w:val="00C52A0D"/>
    <w:rsid w:val="00C531B4"/>
    <w:rsid w:val="00C53EC0"/>
    <w:rsid w:val="00C54711"/>
    <w:rsid w:val="00C54EC1"/>
    <w:rsid w:val="00C57E5A"/>
    <w:rsid w:val="00C60355"/>
    <w:rsid w:val="00C60EC1"/>
    <w:rsid w:val="00C618DC"/>
    <w:rsid w:val="00C61C70"/>
    <w:rsid w:val="00C63E45"/>
    <w:rsid w:val="00C63FD8"/>
    <w:rsid w:val="00C649BE"/>
    <w:rsid w:val="00C65807"/>
    <w:rsid w:val="00C661C8"/>
    <w:rsid w:val="00C66BB9"/>
    <w:rsid w:val="00C6789F"/>
    <w:rsid w:val="00C704C9"/>
    <w:rsid w:val="00C71604"/>
    <w:rsid w:val="00C72917"/>
    <w:rsid w:val="00C72F47"/>
    <w:rsid w:val="00C75198"/>
    <w:rsid w:val="00C755B8"/>
    <w:rsid w:val="00C7562B"/>
    <w:rsid w:val="00C80E4B"/>
    <w:rsid w:val="00C80F4A"/>
    <w:rsid w:val="00C841B0"/>
    <w:rsid w:val="00C84426"/>
    <w:rsid w:val="00C84A8D"/>
    <w:rsid w:val="00C84EE8"/>
    <w:rsid w:val="00C85917"/>
    <w:rsid w:val="00C85F75"/>
    <w:rsid w:val="00C86CB3"/>
    <w:rsid w:val="00C87039"/>
    <w:rsid w:val="00C91A42"/>
    <w:rsid w:val="00C92748"/>
    <w:rsid w:val="00C92E74"/>
    <w:rsid w:val="00C935EB"/>
    <w:rsid w:val="00C948A2"/>
    <w:rsid w:val="00C948B3"/>
    <w:rsid w:val="00C970F4"/>
    <w:rsid w:val="00CA09A4"/>
    <w:rsid w:val="00CA1826"/>
    <w:rsid w:val="00CA1E45"/>
    <w:rsid w:val="00CA20EE"/>
    <w:rsid w:val="00CA2C3E"/>
    <w:rsid w:val="00CA4245"/>
    <w:rsid w:val="00CA4818"/>
    <w:rsid w:val="00CA5C80"/>
    <w:rsid w:val="00CA6B34"/>
    <w:rsid w:val="00CA6F25"/>
    <w:rsid w:val="00CA7682"/>
    <w:rsid w:val="00CB47C4"/>
    <w:rsid w:val="00CB51D5"/>
    <w:rsid w:val="00CB5934"/>
    <w:rsid w:val="00CB5C0D"/>
    <w:rsid w:val="00CB5CF7"/>
    <w:rsid w:val="00CC0C3E"/>
    <w:rsid w:val="00CC3ECC"/>
    <w:rsid w:val="00CC45D1"/>
    <w:rsid w:val="00CC4D2C"/>
    <w:rsid w:val="00CC5F9B"/>
    <w:rsid w:val="00CC7E09"/>
    <w:rsid w:val="00CC7E1E"/>
    <w:rsid w:val="00CD01C1"/>
    <w:rsid w:val="00CD07A2"/>
    <w:rsid w:val="00CD2D54"/>
    <w:rsid w:val="00CD38A2"/>
    <w:rsid w:val="00CD6F93"/>
    <w:rsid w:val="00CD75CA"/>
    <w:rsid w:val="00CD772A"/>
    <w:rsid w:val="00CD78EB"/>
    <w:rsid w:val="00CD7E66"/>
    <w:rsid w:val="00CE02A0"/>
    <w:rsid w:val="00CE0C50"/>
    <w:rsid w:val="00CE20AE"/>
    <w:rsid w:val="00CE2FAF"/>
    <w:rsid w:val="00CE5A37"/>
    <w:rsid w:val="00CE6296"/>
    <w:rsid w:val="00CE7D0E"/>
    <w:rsid w:val="00CF114A"/>
    <w:rsid w:val="00CF225E"/>
    <w:rsid w:val="00CF2341"/>
    <w:rsid w:val="00CF2566"/>
    <w:rsid w:val="00CF3582"/>
    <w:rsid w:val="00CF38A3"/>
    <w:rsid w:val="00CF5F9D"/>
    <w:rsid w:val="00CF601A"/>
    <w:rsid w:val="00CF6D02"/>
    <w:rsid w:val="00CF7228"/>
    <w:rsid w:val="00CF7A40"/>
    <w:rsid w:val="00CF7FE1"/>
    <w:rsid w:val="00D000E5"/>
    <w:rsid w:val="00D0069A"/>
    <w:rsid w:val="00D010FD"/>
    <w:rsid w:val="00D02580"/>
    <w:rsid w:val="00D03F75"/>
    <w:rsid w:val="00D04248"/>
    <w:rsid w:val="00D06760"/>
    <w:rsid w:val="00D07AE9"/>
    <w:rsid w:val="00D11A27"/>
    <w:rsid w:val="00D11DD8"/>
    <w:rsid w:val="00D14FAB"/>
    <w:rsid w:val="00D152D0"/>
    <w:rsid w:val="00D15318"/>
    <w:rsid w:val="00D238CA"/>
    <w:rsid w:val="00D26CFA"/>
    <w:rsid w:val="00D34BF3"/>
    <w:rsid w:val="00D358A8"/>
    <w:rsid w:val="00D37AE1"/>
    <w:rsid w:val="00D40690"/>
    <w:rsid w:val="00D42AA2"/>
    <w:rsid w:val="00D42E38"/>
    <w:rsid w:val="00D44C0F"/>
    <w:rsid w:val="00D45C69"/>
    <w:rsid w:val="00D5009E"/>
    <w:rsid w:val="00D507E3"/>
    <w:rsid w:val="00D51EC6"/>
    <w:rsid w:val="00D548F6"/>
    <w:rsid w:val="00D54E08"/>
    <w:rsid w:val="00D5562F"/>
    <w:rsid w:val="00D626EE"/>
    <w:rsid w:val="00D62723"/>
    <w:rsid w:val="00D640D7"/>
    <w:rsid w:val="00D6685D"/>
    <w:rsid w:val="00D70FD7"/>
    <w:rsid w:val="00D71580"/>
    <w:rsid w:val="00D71C67"/>
    <w:rsid w:val="00D7220D"/>
    <w:rsid w:val="00D73CF8"/>
    <w:rsid w:val="00D74CE9"/>
    <w:rsid w:val="00D757D5"/>
    <w:rsid w:val="00D75D6B"/>
    <w:rsid w:val="00D76B76"/>
    <w:rsid w:val="00D83300"/>
    <w:rsid w:val="00D83577"/>
    <w:rsid w:val="00D83DED"/>
    <w:rsid w:val="00D84074"/>
    <w:rsid w:val="00D846FA"/>
    <w:rsid w:val="00D85D0A"/>
    <w:rsid w:val="00D85F40"/>
    <w:rsid w:val="00D86C4D"/>
    <w:rsid w:val="00D86E6D"/>
    <w:rsid w:val="00D91504"/>
    <w:rsid w:val="00D92A39"/>
    <w:rsid w:val="00D93456"/>
    <w:rsid w:val="00D94844"/>
    <w:rsid w:val="00D94E54"/>
    <w:rsid w:val="00D96186"/>
    <w:rsid w:val="00DA051C"/>
    <w:rsid w:val="00DA0652"/>
    <w:rsid w:val="00DA17C3"/>
    <w:rsid w:val="00DA21F2"/>
    <w:rsid w:val="00DA4D65"/>
    <w:rsid w:val="00DA5EA8"/>
    <w:rsid w:val="00DA6147"/>
    <w:rsid w:val="00DA6468"/>
    <w:rsid w:val="00DA70EF"/>
    <w:rsid w:val="00DB0D5A"/>
    <w:rsid w:val="00DB52AD"/>
    <w:rsid w:val="00DC14A0"/>
    <w:rsid w:val="00DC3E94"/>
    <w:rsid w:val="00DC46A0"/>
    <w:rsid w:val="00DC5119"/>
    <w:rsid w:val="00DC6BA3"/>
    <w:rsid w:val="00DD2459"/>
    <w:rsid w:val="00DD2E8B"/>
    <w:rsid w:val="00DD3317"/>
    <w:rsid w:val="00DD38A8"/>
    <w:rsid w:val="00DD5B2A"/>
    <w:rsid w:val="00DD65C4"/>
    <w:rsid w:val="00DD66C8"/>
    <w:rsid w:val="00DD72E9"/>
    <w:rsid w:val="00DD740E"/>
    <w:rsid w:val="00DE15EB"/>
    <w:rsid w:val="00DE2018"/>
    <w:rsid w:val="00DE2AAB"/>
    <w:rsid w:val="00DE4593"/>
    <w:rsid w:val="00DF0C3B"/>
    <w:rsid w:val="00DF17C1"/>
    <w:rsid w:val="00DF1BC6"/>
    <w:rsid w:val="00DF1F4F"/>
    <w:rsid w:val="00DF58C2"/>
    <w:rsid w:val="00DF5EA7"/>
    <w:rsid w:val="00DF6FC1"/>
    <w:rsid w:val="00E0248C"/>
    <w:rsid w:val="00E02D46"/>
    <w:rsid w:val="00E03C6E"/>
    <w:rsid w:val="00E04C40"/>
    <w:rsid w:val="00E063B0"/>
    <w:rsid w:val="00E06DCD"/>
    <w:rsid w:val="00E10656"/>
    <w:rsid w:val="00E13019"/>
    <w:rsid w:val="00E13FE5"/>
    <w:rsid w:val="00E17272"/>
    <w:rsid w:val="00E17D39"/>
    <w:rsid w:val="00E17E93"/>
    <w:rsid w:val="00E21338"/>
    <w:rsid w:val="00E23985"/>
    <w:rsid w:val="00E254DD"/>
    <w:rsid w:val="00E27554"/>
    <w:rsid w:val="00E275A6"/>
    <w:rsid w:val="00E33788"/>
    <w:rsid w:val="00E350AA"/>
    <w:rsid w:val="00E35A6A"/>
    <w:rsid w:val="00E35DFF"/>
    <w:rsid w:val="00E3615B"/>
    <w:rsid w:val="00E42BBA"/>
    <w:rsid w:val="00E432C5"/>
    <w:rsid w:val="00E45DAB"/>
    <w:rsid w:val="00E46379"/>
    <w:rsid w:val="00E47056"/>
    <w:rsid w:val="00E47632"/>
    <w:rsid w:val="00E51BA3"/>
    <w:rsid w:val="00E51D32"/>
    <w:rsid w:val="00E54C18"/>
    <w:rsid w:val="00E56843"/>
    <w:rsid w:val="00E56981"/>
    <w:rsid w:val="00E60148"/>
    <w:rsid w:val="00E61764"/>
    <w:rsid w:val="00E61981"/>
    <w:rsid w:val="00E621F8"/>
    <w:rsid w:val="00E6250C"/>
    <w:rsid w:val="00E64927"/>
    <w:rsid w:val="00E65226"/>
    <w:rsid w:val="00E65EE1"/>
    <w:rsid w:val="00E678F0"/>
    <w:rsid w:val="00E67E53"/>
    <w:rsid w:val="00E721C3"/>
    <w:rsid w:val="00E74A5B"/>
    <w:rsid w:val="00E74B4C"/>
    <w:rsid w:val="00E804D6"/>
    <w:rsid w:val="00E82037"/>
    <w:rsid w:val="00E842A4"/>
    <w:rsid w:val="00E84E9F"/>
    <w:rsid w:val="00E86C08"/>
    <w:rsid w:val="00E9175C"/>
    <w:rsid w:val="00E96139"/>
    <w:rsid w:val="00E96D27"/>
    <w:rsid w:val="00E97225"/>
    <w:rsid w:val="00E97887"/>
    <w:rsid w:val="00E97C1F"/>
    <w:rsid w:val="00EA14D4"/>
    <w:rsid w:val="00EA1960"/>
    <w:rsid w:val="00EA1D00"/>
    <w:rsid w:val="00EA2041"/>
    <w:rsid w:val="00EA2426"/>
    <w:rsid w:val="00EA24A0"/>
    <w:rsid w:val="00EA316A"/>
    <w:rsid w:val="00EA3A14"/>
    <w:rsid w:val="00EA3A3C"/>
    <w:rsid w:val="00EA45C9"/>
    <w:rsid w:val="00EA467E"/>
    <w:rsid w:val="00EA7C04"/>
    <w:rsid w:val="00EB2CC4"/>
    <w:rsid w:val="00EB32DF"/>
    <w:rsid w:val="00EB378F"/>
    <w:rsid w:val="00EB4C44"/>
    <w:rsid w:val="00EB68DD"/>
    <w:rsid w:val="00EB6BEF"/>
    <w:rsid w:val="00EB7659"/>
    <w:rsid w:val="00EC0787"/>
    <w:rsid w:val="00EC1080"/>
    <w:rsid w:val="00EC2877"/>
    <w:rsid w:val="00EC4C94"/>
    <w:rsid w:val="00EC6E1A"/>
    <w:rsid w:val="00EC7D9A"/>
    <w:rsid w:val="00ED01A9"/>
    <w:rsid w:val="00ED01CE"/>
    <w:rsid w:val="00ED0EE0"/>
    <w:rsid w:val="00ED102F"/>
    <w:rsid w:val="00ED27B7"/>
    <w:rsid w:val="00ED4319"/>
    <w:rsid w:val="00ED4D0E"/>
    <w:rsid w:val="00ED6499"/>
    <w:rsid w:val="00ED6DC3"/>
    <w:rsid w:val="00ED742E"/>
    <w:rsid w:val="00EE0182"/>
    <w:rsid w:val="00EE0756"/>
    <w:rsid w:val="00EE0948"/>
    <w:rsid w:val="00EE192C"/>
    <w:rsid w:val="00EE56EB"/>
    <w:rsid w:val="00EE76EB"/>
    <w:rsid w:val="00EF002E"/>
    <w:rsid w:val="00EF222B"/>
    <w:rsid w:val="00EF25B4"/>
    <w:rsid w:val="00EF2685"/>
    <w:rsid w:val="00EF31B5"/>
    <w:rsid w:val="00EF362D"/>
    <w:rsid w:val="00EF51F4"/>
    <w:rsid w:val="00EF5396"/>
    <w:rsid w:val="00EF730E"/>
    <w:rsid w:val="00F0082C"/>
    <w:rsid w:val="00F01D6C"/>
    <w:rsid w:val="00F02577"/>
    <w:rsid w:val="00F029CE"/>
    <w:rsid w:val="00F02BDE"/>
    <w:rsid w:val="00F02C33"/>
    <w:rsid w:val="00F030C4"/>
    <w:rsid w:val="00F0447C"/>
    <w:rsid w:val="00F05C2A"/>
    <w:rsid w:val="00F076D4"/>
    <w:rsid w:val="00F077B9"/>
    <w:rsid w:val="00F100C7"/>
    <w:rsid w:val="00F10975"/>
    <w:rsid w:val="00F125EA"/>
    <w:rsid w:val="00F12DA1"/>
    <w:rsid w:val="00F13516"/>
    <w:rsid w:val="00F136F6"/>
    <w:rsid w:val="00F1396F"/>
    <w:rsid w:val="00F15110"/>
    <w:rsid w:val="00F1517A"/>
    <w:rsid w:val="00F15FAF"/>
    <w:rsid w:val="00F160F9"/>
    <w:rsid w:val="00F179F5"/>
    <w:rsid w:val="00F20C71"/>
    <w:rsid w:val="00F23A2B"/>
    <w:rsid w:val="00F240FC"/>
    <w:rsid w:val="00F25612"/>
    <w:rsid w:val="00F25D5F"/>
    <w:rsid w:val="00F26A00"/>
    <w:rsid w:val="00F301A8"/>
    <w:rsid w:val="00F31109"/>
    <w:rsid w:val="00F31A78"/>
    <w:rsid w:val="00F31DF6"/>
    <w:rsid w:val="00F3409C"/>
    <w:rsid w:val="00F34470"/>
    <w:rsid w:val="00F37005"/>
    <w:rsid w:val="00F41004"/>
    <w:rsid w:val="00F4416B"/>
    <w:rsid w:val="00F5253C"/>
    <w:rsid w:val="00F5271F"/>
    <w:rsid w:val="00F5383B"/>
    <w:rsid w:val="00F53EF4"/>
    <w:rsid w:val="00F54F9E"/>
    <w:rsid w:val="00F55A41"/>
    <w:rsid w:val="00F562A9"/>
    <w:rsid w:val="00F600BD"/>
    <w:rsid w:val="00F608AA"/>
    <w:rsid w:val="00F60D2F"/>
    <w:rsid w:val="00F63A11"/>
    <w:rsid w:val="00F64ABF"/>
    <w:rsid w:val="00F662B4"/>
    <w:rsid w:val="00F66652"/>
    <w:rsid w:val="00F66E50"/>
    <w:rsid w:val="00F67FC9"/>
    <w:rsid w:val="00F73CDD"/>
    <w:rsid w:val="00F749CD"/>
    <w:rsid w:val="00F74CB6"/>
    <w:rsid w:val="00F74F3E"/>
    <w:rsid w:val="00F75DF3"/>
    <w:rsid w:val="00F7707C"/>
    <w:rsid w:val="00F77BAF"/>
    <w:rsid w:val="00F8132B"/>
    <w:rsid w:val="00F81B94"/>
    <w:rsid w:val="00F81EE1"/>
    <w:rsid w:val="00F82964"/>
    <w:rsid w:val="00F82CD4"/>
    <w:rsid w:val="00F83C88"/>
    <w:rsid w:val="00F83F89"/>
    <w:rsid w:val="00F85372"/>
    <w:rsid w:val="00F857F0"/>
    <w:rsid w:val="00F86B97"/>
    <w:rsid w:val="00F90FE5"/>
    <w:rsid w:val="00F91BAB"/>
    <w:rsid w:val="00F926A4"/>
    <w:rsid w:val="00F96D60"/>
    <w:rsid w:val="00F96F57"/>
    <w:rsid w:val="00F971BE"/>
    <w:rsid w:val="00F9748F"/>
    <w:rsid w:val="00F97518"/>
    <w:rsid w:val="00F97688"/>
    <w:rsid w:val="00FA032F"/>
    <w:rsid w:val="00FA0912"/>
    <w:rsid w:val="00FA7E0E"/>
    <w:rsid w:val="00FB2734"/>
    <w:rsid w:val="00FB4AA6"/>
    <w:rsid w:val="00FC1A37"/>
    <w:rsid w:val="00FC1C42"/>
    <w:rsid w:val="00FC1E49"/>
    <w:rsid w:val="00FC2274"/>
    <w:rsid w:val="00FC3C40"/>
    <w:rsid w:val="00FC403D"/>
    <w:rsid w:val="00FC4934"/>
    <w:rsid w:val="00FC4956"/>
    <w:rsid w:val="00FC5334"/>
    <w:rsid w:val="00FC548D"/>
    <w:rsid w:val="00FD04F8"/>
    <w:rsid w:val="00FD19ED"/>
    <w:rsid w:val="00FD27DB"/>
    <w:rsid w:val="00FD4A10"/>
    <w:rsid w:val="00FD6C01"/>
    <w:rsid w:val="00FD6CBE"/>
    <w:rsid w:val="00FE65F7"/>
    <w:rsid w:val="00FE676A"/>
    <w:rsid w:val="00FE77B8"/>
    <w:rsid w:val="00FE7847"/>
    <w:rsid w:val="00FF1828"/>
    <w:rsid w:val="00FF1875"/>
    <w:rsid w:val="00FF1F70"/>
    <w:rsid w:val="00FF2077"/>
    <w:rsid w:val="00FF5F51"/>
    <w:rsid w:val="00FF7D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FD76"/>
  <w15:chartTrackingRefBased/>
  <w15:docId w15:val="{81915931-CD0F-47E7-82E9-97AE7EDF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w Cen MT" w:eastAsiaTheme="minorHAnsi" w:hAnsi="Tw Cen MT"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2A1"/>
    <w:pPr>
      <w:spacing w:after="120"/>
    </w:pPr>
    <w:rPr>
      <w:rFonts w:ascii="Arial" w:eastAsia="Times New Roman" w:hAnsi="Arial"/>
      <w:lang w:val="en-US" w:eastAsia="en-AU"/>
    </w:rPr>
  </w:style>
  <w:style w:type="paragraph" w:styleId="Heading1">
    <w:name w:val="heading 1"/>
    <w:basedOn w:val="Normal"/>
    <w:next w:val="Normal"/>
    <w:link w:val="Heading1Char"/>
    <w:qFormat/>
    <w:rsid w:val="009E5F5D"/>
    <w:pPr>
      <w:keepNext/>
      <w:spacing w:before="240"/>
      <w:outlineLvl w:val="0"/>
    </w:pPr>
    <w:rPr>
      <w:rFonts w:eastAsiaTheme="majorEastAsia" w:cstheme="majorBidi"/>
      <w:b/>
      <w:bCs/>
      <w:noProof/>
      <w:kern w:val="32"/>
      <w:sz w:val="48"/>
      <w:szCs w:val="32"/>
      <w:lang w:val="en-AU"/>
    </w:rPr>
  </w:style>
  <w:style w:type="paragraph" w:styleId="Heading2">
    <w:name w:val="heading 2"/>
    <w:basedOn w:val="Normal"/>
    <w:next w:val="Normal"/>
    <w:link w:val="Heading2Char"/>
    <w:unhideWhenUsed/>
    <w:qFormat/>
    <w:rsid w:val="009E5F5D"/>
    <w:pPr>
      <w:keepNext/>
      <w:spacing w:before="240"/>
      <w:outlineLvl w:val="1"/>
    </w:pPr>
    <w:rPr>
      <w:rFonts w:cs="Arial"/>
      <w:b/>
      <w:bCs/>
      <w:iCs/>
      <w:sz w:val="36"/>
      <w:szCs w:val="36"/>
      <w:lang w:val="en-AU" w:eastAsia="en-US"/>
    </w:rPr>
  </w:style>
  <w:style w:type="paragraph" w:styleId="Heading3">
    <w:name w:val="heading 3"/>
    <w:basedOn w:val="Normal"/>
    <w:next w:val="Normal"/>
    <w:link w:val="Heading3Char"/>
    <w:qFormat/>
    <w:rsid w:val="009E5F5D"/>
    <w:pPr>
      <w:keepNext/>
      <w:outlineLvl w:val="2"/>
    </w:pPr>
    <w:rPr>
      <w:b/>
      <w:sz w:val="32"/>
    </w:rPr>
  </w:style>
  <w:style w:type="paragraph" w:styleId="Heading5">
    <w:name w:val="heading 5"/>
    <w:basedOn w:val="Normal"/>
    <w:next w:val="Normal"/>
    <w:link w:val="Heading5Char"/>
    <w:unhideWhenUsed/>
    <w:qFormat/>
    <w:rsid w:val="009E5F5D"/>
    <w:pPr>
      <w:spacing w:before="240"/>
      <w:outlineLvl w:val="4"/>
    </w:pPr>
    <w:rPr>
      <w:b/>
      <w:bCs/>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E5F5D"/>
    <w:rPr>
      <w:rFonts w:ascii="Arial" w:eastAsia="Times New Roman" w:hAnsi="Arial" w:cs="Arial"/>
      <w:b/>
      <w:bCs/>
      <w:iCs/>
      <w:sz w:val="36"/>
      <w:szCs w:val="36"/>
    </w:rPr>
  </w:style>
  <w:style w:type="character" w:customStyle="1" w:styleId="Heading1Char">
    <w:name w:val="Heading 1 Char"/>
    <w:basedOn w:val="DefaultParagraphFont"/>
    <w:link w:val="Heading1"/>
    <w:rsid w:val="009E5F5D"/>
    <w:rPr>
      <w:rFonts w:ascii="Arial" w:eastAsiaTheme="majorEastAsia" w:hAnsi="Arial" w:cstheme="majorBidi"/>
      <w:b/>
      <w:bCs/>
      <w:noProof/>
      <w:kern w:val="32"/>
      <w:sz w:val="48"/>
      <w:szCs w:val="32"/>
      <w:lang w:eastAsia="en-AU"/>
    </w:rPr>
  </w:style>
  <w:style w:type="paragraph" w:styleId="Title">
    <w:name w:val="Title"/>
    <w:basedOn w:val="Normal"/>
    <w:next w:val="Normal"/>
    <w:link w:val="TitleChar"/>
    <w:uiPriority w:val="10"/>
    <w:qFormat/>
    <w:rsid w:val="0089657A"/>
    <w:pPr>
      <w:spacing w:before="240" w:after="60"/>
      <w:jc w:val="center"/>
      <w:outlineLvl w:val="0"/>
    </w:pPr>
    <w:rPr>
      <w:rFonts w:asciiTheme="minorHAnsi" w:eastAsiaTheme="majorEastAsia" w:hAnsiTheme="minorHAnsi" w:cstheme="majorBidi"/>
      <w:b/>
      <w:bCs/>
      <w:kern w:val="28"/>
      <w:sz w:val="32"/>
      <w:szCs w:val="32"/>
    </w:rPr>
  </w:style>
  <w:style w:type="character" w:customStyle="1" w:styleId="TitleChar">
    <w:name w:val="Title Char"/>
    <w:basedOn w:val="DefaultParagraphFont"/>
    <w:link w:val="Title"/>
    <w:uiPriority w:val="10"/>
    <w:rsid w:val="0089657A"/>
    <w:rPr>
      <w:rFonts w:asciiTheme="minorHAnsi" w:eastAsiaTheme="majorEastAsia" w:hAnsiTheme="minorHAnsi" w:cstheme="majorBidi"/>
      <w:b/>
      <w:bCs/>
      <w:kern w:val="28"/>
      <w:sz w:val="32"/>
      <w:szCs w:val="32"/>
    </w:rPr>
  </w:style>
  <w:style w:type="paragraph" w:styleId="NoSpacing">
    <w:name w:val="No Spacing"/>
    <w:link w:val="NoSpacingChar"/>
    <w:uiPriority w:val="1"/>
    <w:qFormat/>
    <w:rsid w:val="003A27B6"/>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A27B6"/>
    <w:rPr>
      <w:rFonts w:asciiTheme="minorHAnsi" w:eastAsiaTheme="minorEastAsia" w:hAnsiTheme="minorHAnsi" w:cstheme="minorBidi"/>
      <w:sz w:val="22"/>
      <w:szCs w:val="22"/>
      <w:lang w:val="en-US"/>
    </w:rPr>
  </w:style>
  <w:style w:type="character" w:customStyle="1" w:styleId="Heading3Char">
    <w:name w:val="Heading 3 Char"/>
    <w:basedOn w:val="DefaultParagraphFont"/>
    <w:link w:val="Heading3"/>
    <w:rsid w:val="009E5F5D"/>
    <w:rPr>
      <w:rFonts w:ascii="Arial" w:eastAsia="Times New Roman" w:hAnsi="Arial"/>
      <w:b/>
      <w:sz w:val="32"/>
      <w:lang w:val="en-US" w:eastAsia="en-AU"/>
    </w:rPr>
  </w:style>
  <w:style w:type="character" w:customStyle="1" w:styleId="Heading5Char">
    <w:name w:val="Heading 5 Char"/>
    <w:basedOn w:val="DefaultParagraphFont"/>
    <w:link w:val="Heading5"/>
    <w:rsid w:val="009E5F5D"/>
    <w:rPr>
      <w:rFonts w:ascii="Arial" w:eastAsia="Times New Roman" w:hAnsi="Arial"/>
      <w:b/>
      <w:bCs/>
      <w:iCs/>
      <w:sz w:val="24"/>
      <w:szCs w:val="26"/>
      <w:lang w:val="en-US" w:eastAsia="en-AU"/>
    </w:rPr>
  </w:style>
  <w:style w:type="character" w:styleId="CommentReference">
    <w:name w:val="annotation reference"/>
    <w:uiPriority w:val="99"/>
    <w:rsid w:val="003A27B6"/>
    <w:rPr>
      <w:sz w:val="16"/>
      <w:szCs w:val="16"/>
    </w:rPr>
  </w:style>
  <w:style w:type="paragraph" w:styleId="CommentText">
    <w:name w:val="annotation text"/>
    <w:basedOn w:val="Normal"/>
    <w:link w:val="CommentTextChar"/>
    <w:uiPriority w:val="99"/>
    <w:rsid w:val="003A27B6"/>
    <w:rPr>
      <w:lang w:val="en-AU"/>
    </w:rPr>
  </w:style>
  <w:style w:type="character" w:customStyle="1" w:styleId="CommentTextChar">
    <w:name w:val="Comment Text Char"/>
    <w:basedOn w:val="DefaultParagraphFont"/>
    <w:link w:val="CommentText"/>
    <w:uiPriority w:val="99"/>
    <w:rsid w:val="003A27B6"/>
    <w:rPr>
      <w:rFonts w:ascii="Arial" w:eastAsia="Times New Roman" w:hAnsi="Arial"/>
      <w:lang w:eastAsia="en-AU"/>
    </w:rPr>
  </w:style>
  <w:style w:type="paragraph" w:styleId="BalloonText">
    <w:name w:val="Balloon Text"/>
    <w:basedOn w:val="Normal"/>
    <w:link w:val="BalloonTextChar"/>
    <w:uiPriority w:val="99"/>
    <w:semiHidden/>
    <w:unhideWhenUsed/>
    <w:rsid w:val="003A27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7B6"/>
    <w:rPr>
      <w:rFonts w:ascii="Segoe UI" w:eastAsia="Times New Roman" w:hAnsi="Segoe UI" w:cs="Segoe UI"/>
      <w:sz w:val="18"/>
      <w:szCs w:val="18"/>
      <w:lang w:val="en-US" w:eastAsia="en-AU"/>
    </w:rPr>
  </w:style>
  <w:style w:type="paragraph" w:styleId="CommentSubject">
    <w:name w:val="annotation subject"/>
    <w:basedOn w:val="CommentText"/>
    <w:next w:val="CommentText"/>
    <w:link w:val="CommentSubjectChar"/>
    <w:uiPriority w:val="99"/>
    <w:semiHidden/>
    <w:unhideWhenUsed/>
    <w:rsid w:val="003B2DDE"/>
    <w:rPr>
      <w:b/>
      <w:bCs/>
      <w:lang w:val="en-US"/>
    </w:rPr>
  </w:style>
  <w:style w:type="character" w:customStyle="1" w:styleId="CommentSubjectChar">
    <w:name w:val="Comment Subject Char"/>
    <w:basedOn w:val="CommentTextChar"/>
    <w:link w:val="CommentSubject"/>
    <w:uiPriority w:val="99"/>
    <w:semiHidden/>
    <w:rsid w:val="003B2DDE"/>
    <w:rPr>
      <w:rFonts w:ascii="Arial" w:eastAsia="Times New Roman" w:hAnsi="Arial"/>
      <w:b/>
      <w:bCs/>
      <w:lang w:val="en-US" w:eastAsia="en-AU"/>
    </w:rPr>
  </w:style>
  <w:style w:type="paragraph" w:styleId="Header">
    <w:name w:val="header"/>
    <w:basedOn w:val="Normal"/>
    <w:link w:val="HeaderChar"/>
    <w:uiPriority w:val="99"/>
    <w:unhideWhenUsed/>
    <w:rsid w:val="003B2DDE"/>
    <w:pPr>
      <w:tabs>
        <w:tab w:val="center" w:pos="4513"/>
        <w:tab w:val="right" w:pos="9026"/>
      </w:tabs>
    </w:pPr>
  </w:style>
  <w:style w:type="character" w:customStyle="1" w:styleId="HeaderChar">
    <w:name w:val="Header Char"/>
    <w:basedOn w:val="DefaultParagraphFont"/>
    <w:link w:val="Header"/>
    <w:uiPriority w:val="99"/>
    <w:rsid w:val="003B2DDE"/>
    <w:rPr>
      <w:rFonts w:ascii="Arial" w:eastAsia="Times New Roman" w:hAnsi="Arial"/>
      <w:sz w:val="22"/>
      <w:lang w:val="en-US" w:eastAsia="en-AU"/>
    </w:rPr>
  </w:style>
  <w:style w:type="paragraph" w:styleId="Footer">
    <w:name w:val="footer"/>
    <w:basedOn w:val="Normal"/>
    <w:link w:val="FooterChar"/>
    <w:uiPriority w:val="99"/>
    <w:unhideWhenUsed/>
    <w:rsid w:val="003B2DDE"/>
    <w:pPr>
      <w:tabs>
        <w:tab w:val="center" w:pos="4513"/>
        <w:tab w:val="right" w:pos="9026"/>
      </w:tabs>
    </w:pPr>
  </w:style>
  <w:style w:type="character" w:customStyle="1" w:styleId="FooterChar">
    <w:name w:val="Footer Char"/>
    <w:basedOn w:val="DefaultParagraphFont"/>
    <w:link w:val="Footer"/>
    <w:uiPriority w:val="99"/>
    <w:rsid w:val="003B2DDE"/>
    <w:rPr>
      <w:rFonts w:ascii="Arial" w:eastAsia="Times New Roman" w:hAnsi="Arial"/>
      <w:sz w:val="22"/>
      <w:lang w:val="en-US" w:eastAsia="en-AU"/>
    </w:rPr>
  </w:style>
  <w:style w:type="paragraph" w:styleId="TOCHeading">
    <w:name w:val="TOC Heading"/>
    <w:basedOn w:val="Heading1"/>
    <w:next w:val="Normal"/>
    <w:uiPriority w:val="39"/>
    <w:unhideWhenUsed/>
    <w:qFormat/>
    <w:rsid w:val="00046993"/>
    <w:pPr>
      <w:keepLines/>
      <w:spacing w:after="0" w:line="259" w:lineRule="auto"/>
      <w:outlineLvl w:val="9"/>
    </w:pPr>
    <w:rPr>
      <w:rFonts w:asciiTheme="majorHAnsi" w:hAnsiTheme="majorHAnsi"/>
      <w:b w:val="0"/>
      <w:bCs w:val="0"/>
      <w:noProof w:val="0"/>
      <w:color w:val="365F91" w:themeColor="accent1" w:themeShade="BF"/>
      <w:kern w:val="0"/>
      <w:sz w:val="32"/>
      <w:lang w:val="en-US" w:eastAsia="en-US"/>
    </w:rPr>
  </w:style>
  <w:style w:type="paragraph" w:styleId="TOC1">
    <w:name w:val="toc 1"/>
    <w:basedOn w:val="Normal"/>
    <w:next w:val="Normal"/>
    <w:autoRedefine/>
    <w:uiPriority w:val="39"/>
    <w:unhideWhenUsed/>
    <w:rsid w:val="00046993"/>
    <w:pPr>
      <w:spacing w:after="100"/>
    </w:pPr>
  </w:style>
  <w:style w:type="paragraph" w:styleId="TOC2">
    <w:name w:val="toc 2"/>
    <w:basedOn w:val="Normal"/>
    <w:next w:val="Normal"/>
    <w:autoRedefine/>
    <w:uiPriority w:val="39"/>
    <w:unhideWhenUsed/>
    <w:rsid w:val="00046993"/>
    <w:pPr>
      <w:spacing w:after="100"/>
      <w:ind w:left="220"/>
    </w:pPr>
  </w:style>
  <w:style w:type="character" w:styleId="Hyperlink">
    <w:name w:val="Hyperlink"/>
    <w:basedOn w:val="DefaultParagraphFont"/>
    <w:uiPriority w:val="99"/>
    <w:unhideWhenUsed/>
    <w:rsid w:val="00046993"/>
    <w:rPr>
      <w:color w:val="0000FF" w:themeColor="hyperlink"/>
      <w:u w:val="single"/>
    </w:rPr>
  </w:style>
  <w:style w:type="paragraph" w:customStyle="1" w:styleId="SubmissionTable">
    <w:name w:val="SubmissionTable"/>
    <w:basedOn w:val="Normal"/>
    <w:link w:val="SubmissionTableChar"/>
    <w:qFormat/>
    <w:rsid w:val="00776745"/>
    <w:pPr>
      <w:spacing w:before="60" w:after="60"/>
    </w:pPr>
    <w:rPr>
      <w:color w:val="000000"/>
      <w:sz w:val="18"/>
    </w:rPr>
  </w:style>
  <w:style w:type="paragraph" w:customStyle="1" w:styleId="SubmissionTableHeadingBold">
    <w:name w:val="SubmissionTableHeadingBold"/>
    <w:basedOn w:val="SubmissionTable"/>
    <w:link w:val="SubmissionTableHeadingBoldChar"/>
    <w:qFormat/>
    <w:rsid w:val="00776745"/>
    <w:rPr>
      <w:b/>
    </w:rPr>
  </w:style>
  <w:style w:type="character" w:customStyle="1" w:styleId="SubmissionTableChar">
    <w:name w:val="SubmissionTable Char"/>
    <w:link w:val="SubmissionTable"/>
    <w:rsid w:val="00776745"/>
    <w:rPr>
      <w:rFonts w:ascii="Arial" w:eastAsia="Times New Roman" w:hAnsi="Arial"/>
      <w:color w:val="000000"/>
      <w:sz w:val="18"/>
      <w:lang w:val="en-US" w:eastAsia="en-AU"/>
    </w:rPr>
  </w:style>
  <w:style w:type="character" w:customStyle="1" w:styleId="SubmissionTableHeadingBoldChar">
    <w:name w:val="SubmissionTableHeadingBold Char"/>
    <w:link w:val="SubmissionTableHeadingBold"/>
    <w:rsid w:val="00776745"/>
    <w:rPr>
      <w:rFonts w:ascii="Arial" w:eastAsia="Times New Roman" w:hAnsi="Arial"/>
      <w:b/>
      <w:color w:val="000000"/>
      <w:sz w:val="18"/>
      <w:lang w:val="en-US" w:eastAsia="en-AU"/>
    </w:rPr>
  </w:style>
  <w:style w:type="paragraph" w:styleId="TOC3">
    <w:name w:val="toc 3"/>
    <w:basedOn w:val="Normal"/>
    <w:next w:val="Normal"/>
    <w:autoRedefine/>
    <w:uiPriority w:val="39"/>
    <w:unhideWhenUsed/>
    <w:rsid w:val="004F41B6"/>
    <w:pPr>
      <w:spacing w:after="100"/>
      <w:ind w:left="440"/>
    </w:pPr>
  </w:style>
  <w:style w:type="table" w:styleId="TableGrid">
    <w:name w:val="Table Grid"/>
    <w:basedOn w:val="TableNormal"/>
    <w:uiPriority w:val="39"/>
    <w:rsid w:val="00FC4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5F5D"/>
    <w:pPr>
      <w:ind w:left="720"/>
      <w:contextualSpacing/>
    </w:pPr>
  </w:style>
  <w:style w:type="paragraph" w:customStyle="1" w:styleId="SNBodyText">
    <w:name w:val="SN Body Text"/>
    <w:basedOn w:val="Normal"/>
    <w:rsid w:val="00193B27"/>
    <w:pPr>
      <w:spacing w:before="120"/>
    </w:pPr>
    <w:rPr>
      <w:rFonts w:asciiTheme="minorHAnsi" w:eastAsiaTheme="minorEastAsia" w:hAnsiTheme="minorHAnsi" w:cstheme="minorBidi"/>
      <w:lang w:val="en-AU" w:eastAsia="en-US"/>
    </w:rPr>
  </w:style>
  <w:style w:type="paragraph" w:styleId="PlainText">
    <w:name w:val="Plain Text"/>
    <w:basedOn w:val="Normal"/>
    <w:link w:val="PlainTextChar"/>
    <w:uiPriority w:val="99"/>
    <w:semiHidden/>
    <w:unhideWhenUsed/>
    <w:rsid w:val="00193B27"/>
    <w:pPr>
      <w:spacing w:after="0"/>
    </w:pPr>
    <w:rPr>
      <w:rFonts w:ascii="Calibri" w:eastAsiaTheme="minorHAnsi" w:hAnsi="Calibri" w:cs="Calibri"/>
      <w:sz w:val="22"/>
      <w:szCs w:val="22"/>
      <w:lang w:val="en-AU"/>
    </w:rPr>
  </w:style>
  <w:style w:type="character" w:customStyle="1" w:styleId="PlainTextChar">
    <w:name w:val="Plain Text Char"/>
    <w:basedOn w:val="DefaultParagraphFont"/>
    <w:link w:val="PlainText"/>
    <w:uiPriority w:val="99"/>
    <w:semiHidden/>
    <w:rsid w:val="00193B27"/>
    <w:rPr>
      <w:rFonts w:ascii="Calibri" w:hAnsi="Calibri" w:cs="Calibri"/>
      <w:sz w:val="22"/>
      <w:szCs w:val="22"/>
      <w:lang w:eastAsia="en-AU"/>
    </w:rPr>
  </w:style>
  <w:style w:type="paragraph" w:customStyle="1" w:styleId="paragraph">
    <w:name w:val="paragraph"/>
    <w:basedOn w:val="Normal"/>
    <w:rsid w:val="00EE56EB"/>
    <w:pPr>
      <w:spacing w:before="100" w:beforeAutospacing="1" w:after="100" w:afterAutospacing="1"/>
    </w:pPr>
    <w:rPr>
      <w:rFonts w:ascii="Times New Roman" w:hAnsi="Times New Roman"/>
      <w:sz w:val="24"/>
      <w:szCs w:val="24"/>
      <w:lang w:val="en-AU"/>
    </w:rPr>
  </w:style>
  <w:style w:type="character" w:customStyle="1" w:styleId="normaltextrun">
    <w:name w:val="normaltextrun"/>
    <w:basedOn w:val="DefaultParagraphFont"/>
    <w:rsid w:val="00EE56EB"/>
  </w:style>
  <w:style w:type="character" w:customStyle="1" w:styleId="eop">
    <w:name w:val="eop"/>
    <w:basedOn w:val="DefaultParagraphFont"/>
    <w:rsid w:val="00EE56EB"/>
  </w:style>
  <w:style w:type="character" w:styleId="UnresolvedMention">
    <w:name w:val="Unresolved Mention"/>
    <w:basedOn w:val="DefaultParagraphFont"/>
    <w:uiPriority w:val="99"/>
    <w:semiHidden/>
    <w:unhideWhenUsed/>
    <w:rsid w:val="00833754"/>
    <w:rPr>
      <w:color w:val="605E5C"/>
      <w:shd w:val="clear" w:color="auto" w:fill="E1DFDD"/>
    </w:rPr>
  </w:style>
  <w:style w:type="paragraph" w:styleId="Revision">
    <w:name w:val="Revision"/>
    <w:hidden/>
    <w:uiPriority w:val="99"/>
    <w:semiHidden/>
    <w:rsid w:val="00A0228A"/>
    <w:rPr>
      <w:rFonts w:ascii="Arial" w:eastAsia="Times New Roman" w:hAnsi="Arial"/>
      <w:lang w:val="en-US" w:eastAsia="en-AU"/>
    </w:rPr>
  </w:style>
  <w:style w:type="character" w:customStyle="1" w:styleId="ListParagraphChar">
    <w:name w:val="List Paragraph Char"/>
    <w:link w:val="ListParagraph"/>
    <w:uiPriority w:val="34"/>
    <w:rsid w:val="004B4F32"/>
    <w:rPr>
      <w:rFonts w:ascii="Arial" w:eastAsia="Times New Roman" w:hAnsi="Arial"/>
      <w:lang w:val="en-US" w:eastAsia="en-AU"/>
    </w:rPr>
  </w:style>
  <w:style w:type="paragraph" w:styleId="NormalWeb">
    <w:name w:val="Normal (Web)"/>
    <w:basedOn w:val="Normal"/>
    <w:uiPriority w:val="99"/>
    <w:semiHidden/>
    <w:unhideWhenUsed/>
    <w:rsid w:val="00640993"/>
    <w:pPr>
      <w:spacing w:before="100" w:beforeAutospacing="1" w:after="100" w:afterAutospacing="1"/>
    </w:pPr>
    <w:rPr>
      <w:rFonts w:ascii="Times New Roman" w:hAnsi="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318">
      <w:bodyDiv w:val="1"/>
      <w:marLeft w:val="0"/>
      <w:marRight w:val="0"/>
      <w:marTop w:val="0"/>
      <w:marBottom w:val="0"/>
      <w:divBdr>
        <w:top w:val="none" w:sz="0" w:space="0" w:color="auto"/>
        <w:left w:val="none" w:sz="0" w:space="0" w:color="auto"/>
        <w:bottom w:val="none" w:sz="0" w:space="0" w:color="auto"/>
        <w:right w:val="none" w:sz="0" w:space="0" w:color="auto"/>
      </w:divBdr>
    </w:div>
    <w:div w:id="73943982">
      <w:bodyDiv w:val="1"/>
      <w:marLeft w:val="0"/>
      <w:marRight w:val="0"/>
      <w:marTop w:val="0"/>
      <w:marBottom w:val="0"/>
      <w:divBdr>
        <w:top w:val="none" w:sz="0" w:space="0" w:color="auto"/>
        <w:left w:val="none" w:sz="0" w:space="0" w:color="auto"/>
        <w:bottom w:val="none" w:sz="0" w:space="0" w:color="auto"/>
        <w:right w:val="none" w:sz="0" w:space="0" w:color="auto"/>
      </w:divBdr>
    </w:div>
    <w:div w:id="138621905">
      <w:bodyDiv w:val="1"/>
      <w:marLeft w:val="0"/>
      <w:marRight w:val="0"/>
      <w:marTop w:val="0"/>
      <w:marBottom w:val="0"/>
      <w:divBdr>
        <w:top w:val="none" w:sz="0" w:space="0" w:color="auto"/>
        <w:left w:val="none" w:sz="0" w:space="0" w:color="auto"/>
        <w:bottom w:val="none" w:sz="0" w:space="0" w:color="auto"/>
        <w:right w:val="none" w:sz="0" w:space="0" w:color="auto"/>
      </w:divBdr>
      <w:divsChild>
        <w:div w:id="1386837248">
          <w:marLeft w:val="0"/>
          <w:marRight w:val="30"/>
          <w:marTop w:val="0"/>
          <w:marBottom w:val="0"/>
          <w:divBdr>
            <w:top w:val="none" w:sz="0" w:space="0" w:color="auto"/>
            <w:left w:val="none" w:sz="0" w:space="0" w:color="auto"/>
            <w:bottom w:val="none" w:sz="0" w:space="0" w:color="auto"/>
            <w:right w:val="none" w:sz="0" w:space="0" w:color="auto"/>
          </w:divBdr>
          <w:divsChild>
            <w:div w:id="1456950376">
              <w:marLeft w:val="0"/>
              <w:marRight w:val="0"/>
              <w:marTop w:val="0"/>
              <w:marBottom w:val="0"/>
              <w:divBdr>
                <w:top w:val="none" w:sz="0" w:space="0" w:color="auto"/>
                <w:left w:val="none" w:sz="0" w:space="0" w:color="auto"/>
                <w:bottom w:val="none" w:sz="0" w:space="0" w:color="auto"/>
                <w:right w:val="none" w:sz="0" w:space="0" w:color="auto"/>
              </w:divBdr>
              <w:divsChild>
                <w:div w:id="457379563">
                  <w:marLeft w:val="0"/>
                  <w:marRight w:val="0"/>
                  <w:marTop w:val="0"/>
                  <w:marBottom w:val="0"/>
                  <w:divBdr>
                    <w:top w:val="none" w:sz="0" w:space="0" w:color="auto"/>
                    <w:left w:val="none" w:sz="0" w:space="0" w:color="auto"/>
                    <w:bottom w:val="none" w:sz="0" w:space="0" w:color="auto"/>
                    <w:right w:val="none" w:sz="0" w:space="0" w:color="auto"/>
                  </w:divBdr>
                  <w:divsChild>
                    <w:div w:id="34780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16191">
          <w:marLeft w:val="45"/>
          <w:marRight w:val="0"/>
          <w:marTop w:val="0"/>
          <w:marBottom w:val="0"/>
          <w:divBdr>
            <w:top w:val="none" w:sz="0" w:space="0" w:color="auto"/>
            <w:left w:val="none" w:sz="0" w:space="0" w:color="auto"/>
            <w:bottom w:val="none" w:sz="0" w:space="0" w:color="auto"/>
            <w:right w:val="none" w:sz="0" w:space="0" w:color="auto"/>
          </w:divBdr>
        </w:div>
      </w:divsChild>
    </w:div>
    <w:div w:id="314838700">
      <w:bodyDiv w:val="1"/>
      <w:marLeft w:val="0"/>
      <w:marRight w:val="0"/>
      <w:marTop w:val="0"/>
      <w:marBottom w:val="0"/>
      <w:divBdr>
        <w:top w:val="none" w:sz="0" w:space="0" w:color="auto"/>
        <w:left w:val="none" w:sz="0" w:space="0" w:color="auto"/>
        <w:bottom w:val="none" w:sz="0" w:space="0" w:color="auto"/>
        <w:right w:val="none" w:sz="0" w:space="0" w:color="auto"/>
      </w:divBdr>
    </w:div>
    <w:div w:id="331302817">
      <w:bodyDiv w:val="1"/>
      <w:marLeft w:val="0"/>
      <w:marRight w:val="0"/>
      <w:marTop w:val="0"/>
      <w:marBottom w:val="0"/>
      <w:divBdr>
        <w:top w:val="none" w:sz="0" w:space="0" w:color="auto"/>
        <w:left w:val="none" w:sz="0" w:space="0" w:color="auto"/>
        <w:bottom w:val="none" w:sz="0" w:space="0" w:color="auto"/>
        <w:right w:val="none" w:sz="0" w:space="0" w:color="auto"/>
      </w:divBdr>
    </w:div>
    <w:div w:id="403334275">
      <w:bodyDiv w:val="1"/>
      <w:marLeft w:val="0"/>
      <w:marRight w:val="0"/>
      <w:marTop w:val="0"/>
      <w:marBottom w:val="0"/>
      <w:divBdr>
        <w:top w:val="none" w:sz="0" w:space="0" w:color="auto"/>
        <w:left w:val="none" w:sz="0" w:space="0" w:color="auto"/>
        <w:bottom w:val="none" w:sz="0" w:space="0" w:color="auto"/>
        <w:right w:val="none" w:sz="0" w:space="0" w:color="auto"/>
      </w:divBdr>
    </w:div>
    <w:div w:id="430248343">
      <w:bodyDiv w:val="1"/>
      <w:marLeft w:val="0"/>
      <w:marRight w:val="0"/>
      <w:marTop w:val="0"/>
      <w:marBottom w:val="0"/>
      <w:divBdr>
        <w:top w:val="none" w:sz="0" w:space="0" w:color="auto"/>
        <w:left w:val="none" w:sz="0" w:space="0" w:color="auto"/>
        <w:bottom w:val="none" w:sz="0" w:space="0" w:color="auto"/>
        <w:right w:val="none" w:sz="0" w:space="0" w:color="auto"/>
      </w:divBdr>
    </w:div>
    <w:div w:id="453987286">
      <w:bodyDiv w:val="1"/>
      <w:marLeft w:val="0"/>
      <w:marRight w:val="0"/>
      <w:marTop w:val="0"/>
      <w:marBottom w:val="0"/>
      <w:divBdr>
        <w:top w:val="none" w:sz="0" w:space="0" w:color="auto"/>
        <w:left w:val="none" w:sz="0" w:space="0" w:color="auto"/>
        <w:bottom w:val="none" w:sz="0" w:space="0" w:color="auto"/>
        <w:right w:val="none" w:sz="0" w:space="0" w:color="auto"/>
      </w:divBdr>
      <w:divsChild>
        <w:div w:id="1348751950">
          <w:marLeft w:val="0"/>
          <w:marRight w:val="0"/>
          <w:marTop w:val="0"/>
          <w:marBottom w:val="0"/>
          <w:divBdr>
            <w:top w:val="none" w:sz="0" w:space="0" w:color="auto"/>
            <w:left w:val="none" w:sz="0" w:space="0" w:color="auto"/>
            <w:bottom w:val="none" w:sz="0" w:space="0" w:color="auto"/>
            <w:right w:val="none" w:sz="0" w:space="0" w:color="auto"/>
          </w:divBdr>
        </w:div>
      </w:divsChild>
    </w:div>
    <w:div w:id="494689389">
      <w:bodyDiv w:val="1"/>
      <w:marLeft w:val="0"/>
      <w:marRight w:val="0"/>
      <w:marTop w:val="0"/>
      <w:marBottom w:val="0"/>
      <w:divBdr>
        <w:top w:val="none" w:sz="0" w:space="0" w:color="auto"/>
        <w:left w:val="none" w:sz="0" w:space="0" w:color="auto"/>
        <w:bottom w:val="none" w:sz="0" w:space="0" w:color="auto"/>
        <w:right w:val="none" w:sz="0" w:space="0" w:color="auto"/>
      </w:divBdr>
    </w:div>
    <w:div w:id="526984392">
      <w:bodyDiv w:val="1"/>
      <w:marLeft w:val="0"/>
      <w:marRight w:val="0"/>
      <w:marTop w:val="0"/>
      <w:marBottom w:val="0"/>
      <w:divBdr>
        <w:top w:val="none" w:sz="0" w:space="0" w:color="auto"/>
        <w:left w:val="none" w:sz="0" w:space="0" w:color="auto"/>
        <w:bottom w:val="none" w:sz="0" w:space="0" w:color="auto"/>
        <w:right w:val="none" w:sz="0" w:space="0" w:color="auto"/>
      </w:divBdr>
    </w:div>
    <w:div w:id="552499876">
      <w:bodyDiv w:val="1"/>
      <w:marLeft w:val="0"/>
      <w:marRight w:val="0"/>
      <w:marTop w:val="0"/>
      <w:marBottom w:val="0"/>
      <w:divBdr>
        <w:top w:val="none" w:sz="0" w:space="0" w:color="auto"/>
        <w:left w:val="none" w:sz="0" w:space="0" w:color="auto"/>
        <w:bottom w:val="none" w:sz="0" w:space="0" w:color="auto"/>
        <w:right w:val="none" w:sz="0" w:space="0" w:color="auto"/>
      </w:divBdr>
    </w:div>
    <w:div w:id="658076733">
      <w:bodyDiv w:val="1"/>
      <w:marLeft w:val="0"/>
      <w:marRight w:val="0"/>
      <w:marTop w:val="0"/>
      <w:marBottom w:val="0"/>
      <w:divBdr>
        <w:top w:val="none" w:sz="0" w:space="0" w:color="auto"/>
        <w:left w:val="none" w:sz="0" w:space="0" w:color="auto"/>
        <w:bottom w:val="none" w:sz="0" w:space="0" w:color="auto"/>
        <w:right w:val="none" w:sz="0" w:space="0" w:color="auto"/>
      </w:divBdr>
    </w:div>
    <w:div w:id="659038535">
      <w:bodyDiv w:val="1"/>
      <w:marLeft w:val="0"/>
      <w:marRight w:val="0"/>
      <w:marTop w:val="0"/>
      <w:marBottom w:val="0"/>
      <w:divBdr>
        <w:top w:val="none" w:sz="0" w:space="0" w:color="auto"/>
        <w:left w:val="none" w:sz="0" w:space="0" w:color="auto"/>
        <w:bottom w:val="none" w:sz="0" w:space="0" w:color="auto"/>
        <w:right w:val="none" w:sz="0" w:space="0" w:color="auto"/>
      </w:divBdr>
    </w:div>
    <w:div w:id="688217877">
      <w:bodyDiv w:val="1"/>
      <w:marLeft w:val="0"/>
      <w:marRight w:val="0"/>
      <w:marTop w:val="0"/>
      <w:marBottom w:val="0"/>
      <w:divBdr>
        <w:top w:val="none" w:sz="0" w:space="0" w:color="auto"/>
        <w:left w:val="none" w:sz="0" w:space="0" w:color="auto"/>
        <w:bottom w:val="none" w:sz="0" w:space="0" w:color="auto"/>
        <w:right w:val="none" w:sz="0" w:space="0" w:color="auto"/>
      </w:divBdr>
    </w:div>
    <w:div w:id="708380020">
      <w:bodyDiv w:val="1"/>
      <w:marLeft w:val="0"/>
      <w:marRight w:val="0"/>
      <w:marTop w:val="0"/>
      <w:marBottom w:val="0"/>
      <w:divBdr>
        <w:top w:val="none" w:sz="0" w:space="0" w:color="auto"/>
        <w:left w:val="none" w:sz="0" w:space="0" w:color="auto"/>
        <w:bottom w:val="none" w:sz="0" w:space="0" w:color="auto"/>
        <w:right w:val="none" w:sz="0" w:space="0" w:color="auto"/>
      </w:divBdr>
    </w:div>
    <w:div w:id="751658289">
      <w:bodyDiv w:val="1"/>
      <w:marLeft w:val="0"/>
      <w:marRight w:val="0"/>
      <w:marTop w:val="0"/>
      <w:marBottom w:val="0"/>
      <w:divBdr>
        <w:top w:val="none" w:sz="0" w:space="0" w:color="auto"/>
        <w:left w:val="none" w:sz="0" w:space="0" w:color="auto"/>
        <w:bottom w:val="none" w:sz="0" w:space="0" w:color="auto"/>
        <w:right w:val="none" w:sz="0" w:space="0" w:color="auto"/>
      </w:divBdr>
    </w:div>
    <w:div w:id="801189257">
      <w:bodyDiv w:val="1"/>
      <w:marLeft w:val="0"/>
      <w:marRight w:val="0"/>
      <w:marTop w:val="0"/>
      <w:marBottom w:val="0"/>
      <w:divBdr>
        <w:top w:val="none" w:sz="0" w:space="0" w:color="auto"/>
        <w:left w:val="none" w:sz="0" w:space="0" w:color="auto"/>
        <w:bottom w:val="none" w:sz="0" w:space="0" w:color="auto"/>
        <w:right w:val="none" w:sz="0" w:space="0" w:color="auto"/>
      </w:divBdr>
    </w:div>
    <w:div w:id="821696561">
      <w:bodyDiv w:val="1"/>
      <w:marLeft w:val="0"/>
      <w:marRight w:val="0"/>
      <w:marTop w:val="0"/>
      <w:marBottom w:val="0"/>
      <w:divBdr>
        <w:top w:val="none" w:sz="0" w:space="0" w:color="auto"/>
        <w:left w:val="none" w:sz="0" w:space="0" w:color="auto"/>
        <w:bottom w:val="none" w:sz="0" w:space="0" w:color="auto"/>
        <w:right w:val="none" w:sz="0" w:space="0" w:color="auto"/>
      </w:divBdr>
    </w:div>
    <w:div w:id="859784799">
      <w:bodyDiv w:val="1"/>
      <w:marLeft w:val="0"/>
      <w:marRight w:val="0"/>
      <w:marTop w:val="0"/>
      <w:marBottom w:val="0"/>
      <w:divBdr>
        <w:top w:val="none" w:sz="0" w:space="0" w:color="auto"/>
        <w:left w:val="none" w:sz="0" w:space="0" w:color="auto"/>
        <w:bottom w:val="none" w:sz="0" w:space="0" w:color="auto"/>
        <w:right w:val="none" w:sz="0" w:space="0" w:color="auto"/>
      </w:divBdr>
    </w:div>
    <w:div w:id="891577606">
      <w:bodyDiv w:val="1"/>
      <w:marLeft w:val="0"/>
      <w:marRight w:val="0"/>
      <w:marTop w:val="0"/>
      <w:marBottom w:val="0"/>
      <w:divBdr>
        <w:top w:val="none" w:sz="0" w:space="0" w:color="auto"/>
        <w:left w:val="none" w:sz="0" w:space="0" w:color="auto"/>
        <w:bottom w:val="none" w:sz="0" w:space="0" w:color="auto"/>
        <w:right w:val="none" w:sz="0" w:space="0" w:color="auto"/>
      </w:divBdr>
    </w:div>
    <w:div w:id="894388174">
      <w:bodyDiv w:val="1"/>
      <w:marLeft w:val="0"/>
      <w:marRight w:val="0"/>
      <w:marTop w:val="0"/>
      <w:marBottom w:val="0"/>
      <w:divBdr>
        <w:top w:val="none" w:sz="0" w:space="0" w:color="auto"/>
        <w:left w:val="none" w:sz="0" w:space="0" w:color="auto"/>
        <w:bottom w:val="none" w:sz="0" w:space="0" w:color="auto"/>
        <w:right w:val="none" w:sz="0" w:space="0" w:color="auto"/>
      </w:divBdr>
    </w:div>
    <w:div w:id="895356151">
      <w:bodyDiv w:val="1"/>
      <w:marLeft w:val="0"/>
      <w:marRight w:val="0"/>
      <w:marTop w:val="0"/>
      <w:marBottom w:val="0"/>
      <w:divBdr>
        <w:top w:val="none" w:sz="0" w:space="0" w:color="auto"/>
        <w:left w:val="none" w:sz="0" w:space="0" w:color="auto"/>
        <w:bottom w:val="none" w:sz="0" w:space="0" w:color="auto"/>
        <w:right w:val="none" w:sz="0" w:space="0" w:color="auto"/>
      </w:divBdr>
      <w:divsChild>
        <w:div w:id="222175963">
          <w:marLeft w:val="0"/>
          <w:marRight w:val="0"/>
          <w:marTop w:val="0"/>
          <w:marBottom w:val="0"/>
          <w:divBdr>
            <w:top w:val="none" w:sz="0" w:space="0" w:color="auto"/>
            <w:left w:val="none" w:sz="0" w:space="0" w:color="auto"/>
            <w:bottom w:val="none" w:sz="0" w:space="0" w:color="auto"/>
            <w:right w:val="none" w:sz="0" w:space="0" w:color="auto"/>
          </w:divBdr>
        </w:div>
      </w:divsChild>
    </w:div>
    <w:div w:id="934899340">
      <w:bodyDiv w:val="1"/>
      <w:marLeft w:val="0"/>
      <w:marRight w:val="0"/>
      <w:marTop w:val="0"/>
      <w:marBottom w:val="0"/>
      <w:divBdr>
        <w:top w:val="none" w:sz="0" w:space="0" w:color="auto"/>
        <w:left w:val="none" w:sz="0" w:space="0" w:color="auto"/>
        <w:bottom w:val="none" w:sz="0" w:space="0" w:color="auto"/>
        <w:right w:val="none" w:sz="0" w:space="0" w:color="auto"/>
      </w:divBdr>
    </w:div>
    <w:div w:id="1008559528">
      <w:bodyDiv w:val="1"/>
      <w:marLeft w:val="0"/>
      <w:marRight w:val="0"/>
      <w:marTop w:val="0"/>
      <w:marBottom w:val="0"/>
      <w:divBdr>
        <w:top w:val="none" w:sz="0" w:space="0" w:color="auto"/>
        <w:left w:val="none" w:sz="0" w:space="0" w:color="auto"/>
        <w:bottom w:val="none" w:sz="0" w:space="0" w:color="auto"/>
        <w:right w:val="none" w:sz="0" w:space="0" w:color="auto"/>
      </w:divBdr>
      <w:divsChild>
        <w:div w:id="1765999715">
          <w:marLeft w:val="0"/>
          <w:marRight w:val="0"/>
          <w:marTop w:val="0"/>
          <w:marBottom w:val="0"/>
          <w:divBdr>
            <w:top w:val="none" w:sz="0" w:space="0" w:color="auto"/>
            <w:left w:val="none" w:sz="0" w:space="0" w:color="auto"/>
            <w:bottom w:val="none" w:sz="0" w:space="0" w:color="auto"/>
            <w:right w:val="none" w:sz="0" w:space="0" w:color="auto"/>
          </w:divBdr>
        </w:div>
        <w:div w:id="1307276206">
          <w:marLeft w:val="0"/>
          <w:marRight w:val="0"/>
          <w:marTop w:val="0"/>
          <w:marBottom w:val="0"/>
          <w:divBdr>
            <w:top w:val="none" w:sz="0" w:space="0" w:color="auto"/>
            <w:left w:val="none" w:sz="0" w:space="0" w:color="auto"/>
            <w:bottom w:val="none" w:sz="0" w:space="0" w:color="auto"/>
            <w:right w:val="none" w:sz="0" w:space="0" w:color="auto"/>
          </w:divBdr>
        </w:div>
        <w:div w:id="133183166">
          <w:marLeft w:val="0"/>
          <w:marRight w:val="0"/>
          <w:marTop w:val="0"/>
          <w:marBottom w:val="0"/>
          <w:divBdr>
            <w:top w:val="none" w:sz="0" w:space="0" w:color="auto"/>
            <w:left w:val="none" w:sz="0" w:space="0" w:color="auto"/>
            <w:bottom w:val="none" w:sz="0" w:space="0" w:color="auto"/>
            <w:right w:val="none" w:sz="0" w:space="0" w:color="auto"/>
          </w:divBdr>
        </w:div>
        <w:div w:id="909194121">
          <w:marLeft w:val="0"/>
          <w:marRight w:val="0"/>
          <w:marTop w:val="0"/>
          <w:marBottom w:val="0"/>
          <w:divBdr>
            <w:top w:val="none" w:sz="0" w:space="0" w:color="auto"/>
            <w:left w:val="none" w:sz="0" w:space="0" w:color="auto"/>
            <w:bottom w:val="none" w:sz="0" w:space="0" w:color="auto"/>
            <w:right w:val="none" w:sz="0" w:space="0" w:color="auto"/>
          </w:divBdr>
        </w:div>
        <w:div w:id="687680303">
          <w:marLeft w:val="0"/>
          <w:marRight w:val="0"/>
          <w:marTop w:val="0"/>
          <w:marBottom w:val="0"/>
          <w:divBdr>
            <w:top w:val="none" w:sz="0" w:space="0" w:color="auto"/>
            <w:left w:val="none" w:sz="0" w:space="0" w:color="auto"/>
            <w:bottom w:val="none" w:sz="0" w:space="0" w:color="auto"/>
            <w:right w:val="none" w:sz="0" w:space="0" w:color="auto"/>
          </w:divBdr>
        </w:div>
      </w:divsChild>
    </w:div>
    <w:div w:id="1028069981">
      <w:bodyDiv w:val="1"/>
      <w:marLeft w:val="0"/>
      <w:marRight w:val="0"/>
      <w:marTop w:val="0"/>
      <w:marBottom w:val="0"/>
      <w:divBdr>
        <w:top w:val="none" w:sz="0" w:space="0" w:color="auto"/>
        <w:left w:val="none" w:sz="0" w:space="0" w:color="auto"/>
        <w:bottom w:val="none" w:sz="0" w:space="0" w:color="auto"/>
        <w:right w:val="none" w:sz="0" w:space="0" w:color="auto"/>
      </w:divBdr>
    </w:div>
    <w:div w:id="1042556302">
      <w:bodyDiv w:val="1"/>
      <w:marLeft w:val="0"/>
      <w:marRight w:val="0"/>
      <w:marTop w:val="0"/>
      <w:marBottom w:val="0"/>
      <w:divBdr>
        <w:top w:val="none" w:sz="0" w:space="0" w:color="auto"/>
        <w:left w:val="none" w:sz="0" w:space="0" w:color="auto"/>
        <w:bottom w:val="none" w:sz="0" w:space="0" w:color="auto"/>
        <w:right w:val="none" w:sz="0" w:space="0" w:color="auto"/>
      </w:divBdr>
      <w:divsChild>
        <w:div w:id="515923036">
          <w:marLeft w:val="1080"/>
          <w:marRight w:val="0"/>
          <w:marTop w:val="100"/>
          <w:marBottom w:val="0"/>
          <w:divBdr>
            <w:top w:val="none" w:sz="0" w:space="0" w:color="auto"/>
            <w:left w:val="none" w:sz="0" w:space="0" w:color="auto"/>
            <w:bottom w:val="none" w:sz="0" w:space="0" w:color="auto"/>
            <w:right w:val="none" w:sz="0" w:space="0" w:color="auto"/>
          </w:divBdr>
        </w:div>
        <w:div w:id="631983464">
          <w:marLeft w:val="1080"/>
          <w:marRight w:val="0"/>
          <w:marTop w:val="100"/>
          <w:marBottom w:val="0"/>
          <w:divBdr>
            <w:top w:val="none" w:sz="0" w:space="0" w:color="auto"/>
            <w:left w:val="none" w:sz="0" w:space="0" w:color="auto"/>
            <w:bottom w:val="none" w:sz="0" w:space="0" w:color="auto"/>
            <w:right w:val="none" w:sz="0" w:space="0" w:color="auto"/>
          </w:divBdr>
        </w:div>
        <w:div w:id="1065032856">
          <w:marLeft w:val="1080"/>
          <w:marRight w:val="0"/>
          <w:marTop w:val="100"/>
          <w:marBottom w:val="0"/>
          <w:divBdr>
            <w:top w:val="none" w:sz="0" w:space="0" w:color="auto"/>
            <w:left w:val="none" w:sz="0" w:space="0" w:color="auto"/>
            <w:bottom w:val="none" w:sz="0" w:space="0" w:color="auto"/>
            <w:right w:val="none" w:sz="0" w:space="0" w:color="auto"/>
          </w:divBdr>
        </w:div>
        <w:div w:id="526913850">
          <w:marLeft w:val="1800"/>
          <w:marRight w:val="0"/>
          <w:marTop w:val="100"/>
          <w:marBottom w:val="0"/>
          <w:divBdr>
            <w:top w:val="none" w:sz="0" w:space="0" w:color="auto"/>
            <w:left w:val="none" w:sz="0" w:space="0" w:color="auto"/>
            <w:bottom w:val="none" w:sz="0" w:space="0" w:color="auto"/>
            <w:right w:val="none" w:sz="0" w:space="0" w:color="auto"/>
          </w:divBdr>
        </w:div>
        <w:div w:id="137891440">
          <w:marLeft w:val="1800"/>
          <w:marRight w:val="0"/>
          <w:marTop w:val="100"/>
          <w:marBottom w:val="0"/>
          <w:divBdr>
            <w:top w:val="none" w:sz="0" w:space="0" w:color="auto"/>
            <w:left w:val="none" w:sz="0" w:space="0" w:color="auto"/>
            <w:bottom w:val="none" w:sz="0" w:space="0" w:color="auto"/>
            <w:right w:val="none" w:sz="0" w:space="0" w:color="auto"/>
          </w:divBdr>
        </w:div>
        <w:div w:id="2069528078">
          <w:marLeft w:val="1800"/>
          <w:marRight w:val="0"/>
          <w:marTop w:val="100"/>
          <w:marBottom w:val="0"/>
          <w:divBdr>
            <w:top w:val="none" w:sz="0" w:space="0" w:color="auto"/>
            <w:left w:val="none" w:sz="0" w:space="0" w:color="auto"/>
            <w:bottom w:val="none" w:sz="0" w:space="0" w:color="auto"/>
            <w:right w:val="none" w:sz="0" w:space="0" w:color="auto"/>
          </w:divBdr>
        </w:div>
        <w:div w:id="1114246795">
          <w:marLeft w:val="1800"/>
          <w:marRight w:val="0"/>
          <w:marTop w:val="100"/>
          <w:marBottom w:val="0"/>
          <w:divBdr>
            <w:top w:val="none" w:sz="0" w:space="0" w:color="auto"/>
            <w:left w:val="none" w:sz="0" w:space="0" w:color="auto"/>
            <w:bottom w:val="none" w:sz="0" w:space="0" w:color="auto"/>
            <w:right w:val="none" w:sz="0" w:space="0" w:color="auto"/>
          </w:divBdr>
        </w:div>
        <w:div w:id="98188757">
          <w:marLeft w:val="1800"/>
          <w:marRight w:val="0"/>
          <w:marTop w:val="100"/>
          <w:marBottom w:val="0"/>
          <w:divBdr>
            <w:top w:val="none" w:sz="0" w:space="0" w:color="auto"/>
            <w:left w:val="none" w:sz="0" w:space="0" w:color="auto"/>
            <w:bottom w:val="none" w:sz="0" w:space="0" w:color="auto"/>
            <w:right w:val="none" w:sz="0" w:space="0" w:color="auto"/>
          </w:divBdr>
        </w:div>
      </w:divsChild>
    </w:div>
    <w:div w:id="1371150704">
      <w:bodyDiv w:val="1"/>
      <w:marLeft w:val="0"/>
      <w:marRight w:val="0"/>
      <w:marTop w:val="0"/>
      <w:marBottom w:val="0"/>
      <w:divBdr>
        <w:top w:val="none" w:sz="0" w:space="0" w:color="auto"/>
        <w:left w:val="none" w:sz="0" w:space="0" w:color="auto"/>
        <w:bottom w:val="none" w:sz="0" w:space="0" w:color="auto"/>
        <w:right w:val="none" w:sz="0" w:space="0" w:color="auto"/>
      </w:divBdr>
    </w:div>
    <w:div w:id="1382896756">
      <w:bodyDiv w:val="1"/>
      <w:marLeft w:val="0"/>
      <w:marRight w:val="0"/>
      <w:marTop w:val="0"/>
      <w:marBottom w:val="0"/>
      <w:divBdr>
        <w:top w:val="none" w:sz="0" w:space="0" w:color="auto"/>
        <w:left w:val="none" w:sz="0" w:space="0" w:color="auto"/>
        <w:bottom w:val="none" w:sz="0" w:space="0" w:color="auto"/>
        <w:right w:val="none" w:sz="0" w:space="0" w:color="auto"/>
      </w:divBdr>
    </w:div>
    <w:div w:id="1431971609">
      <w:bodyDiv w:val="1"/>
      <w:marLeft w:val="0"/>
      <w:marRight w:val="0"/>
      <w:marTop w:val="0"/>
      <w:marBottom w:val="0"/>
      <w:divBdr>
        <w:top w:val="none" w:sz="0" w:space="0" w:color="auto"/>
        <w:left w:val="none" w:sz="0" w:space="0" w:color="auto"/>
        <w:bottom w:val="none" w:sz="0" w:space="0" w:color="auto"/>
        <w:right w:val="none" w:sz="0" w:space="0" w:color="auto"/>
      </w:divBdr>
      <w:divsChild>
        <w:div w:id="1750618770">
          <w:marLeft w:val="0"/>
          <w:marRight w:val="0"/>
          <w:marTop w:val="0"/>
          <w:marBottom w:val="0"/>
          <w:divBdr>
            <w:top w:val="none" w:sz="0" w:space="0" w:color="auto"/>
            <w:left w:val="none" w:sz="0" w:space="0" w:color="auto"/>
            <w:bottom w:val="none" w:sz="0" w:space="0" w:color="auto"/>
            <w:right w:val="none" w:sz="0" w:space="0" w:color="auto"/>
          </w:divBdr>
        </w:div>
      </w:divsChild>
    </w:div>
    <w:div w:id="1442988460">
      <w:bodyDiv w:val="1"/>
      <w:marLeft w:val="0"/>
      <w:marRight w:val="0"/>
      <w:marTop w:val="0"/>
      <w:marBottom w:val="0"/>
      <w:divBdr>
        <w:top w:val="none" w:sz="0" w:space="0" w:color="auto"/>
        <w:left w:val="none" w:sz="0" w:space="0" w:color="auto"/>
        <w:bottom w:val="none" w:sz="0" w:space="0" w:color="auto"/>
        <w:right w:val="none" w:sz="0" w:space="0" w:color="auto"/>
      </w:divBdr>
    </w:div>
    <w:div w:id="1538353289">
      <w:bodyDiv w:val="1"/>
      <w:marLeft w:val="0"/>
      <w:marRight w:val="0"/>
      <w:marTop w:val="0"/>
      <w:marBottom w:val="0"/>
      <w:divBdr>
        <w:top w:val="none" w:sz="0" w:space="0" w:color="auto"/>
        <w:left w:val="none" w:sz="0" w:space="0" w:color="auto"/>
        <w:bottom w:val="none" w:sz="0" w:space="0" w:color="auto"/>
        <w:right w:val="none" w:sz="0" w:space="0" w:color="auto"/>
      </w:divBdr>
    </w:div>
    <w:div w:id="1650595448">
      <w:bodyDiv w:val="1"/>
      <w:marLeft w:val="0"/>
      <w:marRight w:val="0"/>
      <w:marTop w:val="0"/>
      <w:marBottom w:val="0"/>
      <w:divBdr>
        <w:top w:val="none" w:sz="0" w:space="0" w:color="auto"/>
        <w:left w:val="none" w:sz="0" w:space="0" w:color="auto"/>
        <w:bottom w:val="none" w:sz="0" w:space="0" w:color="auto"/>
        <w:right w:val="none" w:sz="0" w:space="0" w:color="auto"/>
      </w:divBdr>
    </w:div>
    <w:div w:id="1652178989">
      <w:bodyDiv w:val="1"/>
      <w:marLeft w:val="0"/>
      <w:marRight w:val="0"/>
      <w:marTop w:val="0"/>
      <w:marBottom w:val="0"/>
      <w:divBdr>
        <w:top w:val="none" w:sz="0" w:space="0" w:color="auto"/>
        <w:left w:val="none" w:sz="0" w:space="0" w:color="auto"/>
        <w:bottom w:val="none" w:sz="0" w:space="0" w:color="auto"/>
        <w:right w:val="none" w:sz="0" w:space="0" w:color="auto"/>
      </w:divBdr>
    </w:div>
    <w:div w:id="1716848489">
      <w:bodyDiv w:val="1"/>
      <w:marLeft w:val="0"/>
      <w:marRight w:val="0"/>
      <w:marTop w:val="0"/>
      <w:marBottom w:val="0"/>
      <w:divBdr>
        <w:top w:val="none" w:sz="0" w:space="0" w:color="auto"/>
        <w:left w:val="none" w:sz="0" w:space="0" w:color="auto"/>
        <w:bottom w:val="none" w:sz="0" w:space="0" w:color="auto"/>
        <w:right w:val="none" w:sz="0" w:space="0" w:color="auto"/>
      </w:divBdr>
    </w:div>
    <w:div w:id="1736051191">
      <w:bodyDiv w:val="1"/>
      <w:marLeft w:val="0"/>
      <w:marRight w:val="0"/>
      <w:marTop w:val="0"/>
      <w:marBottom w:val="0"/>
      <w:divBdr>
        <w:top w:val="none" w:sz="0" w:space="0" w:color="auto"/>
        <w:left w:val="none" w:sz="0" w:space="0" w:color="auto"/>
        <w:bottom w:val="none" w:sz="0" w:space="0" w:color="auto"/>
        <w:right w:val="none" w:sz="0" w:space="0" w:color="auto"/>
      </w:divBdr>
    </w:div>
    <w:div w:id="1745376795">
      <w:bodyDiv w:val="1"/>
      <w:marLeft w:val="0"/>
      <w:marRight w:val="0"/>
      <w:marTop w:val="0"/>
      <w:marBottom w:val="0"/>
      <w:divBdr>
        <w:top w:val="none" w:sz="0" w:space="0" w:color="auto"/>
        <w:left w:val="none" w:sz="0" w:space="0" w:color="auto"/>
        <w:bottom w:val="none" w:sz="0" w:space="0" w:color="auto"/>
        <w:right w:val="none" w:sz="0" w:space="0" w:color="auto"/>
      </w:divBdr>
    </w:div>
    <w:div w:id="1769347985">
      <w:bodyDiv w:val="1"/>
      <w:marLeft w:val="0"/>
      <w:marRight w:val="0"/>
      <w:marTop w:val="0"/>
      <w:marBottom w:val="0"/>
      <w:divBdr>
        <w:top w:val="none" w:sz="0" w:space="0" w:color="auto"/>
        <w:left w:val="none" w:sz="0" w:space="0" w:color="auto"/>
        <w:bottom w:val="none" w:sz="0" w:space="0" w:color="auto"/>
        <w:right w:val="none" w:sz="0" w:space="0" w:color="auto"/>
      </w:divBdr>
    </w:div>
    <w:div w:id="1810777985">
      <w:bodyDiv w:val="1"/>
      <w:marLeft w:val="0"/>
      <w:marRight w:val="0"/>
      <w:marTop w:val="0"/>
      <w:marBottom w:val="0"/>
      <w:divBdr>
        <w:top w:val="none" w:sz="0" w:space="0" w:color="auto"/>
        <w:left w:val="none" w:sz="0" w:space="0" w:color="auto"/>
        <w:bottom w:val="none" w:sz="0" w:space="0" w:color="auto"/>
        <w:right w:val="none" w:sz="0" w:space="0" w:color="auto"/>
      </w:divBdr>
    </w:div>
    <w:div w:id="1890412886">
      <w:bodyDiv w:val="1"/>
      <w:marLeft w:val="0"/>
      <w:marRight w:val="0"/>
      <w:marTop w:val="0"/>
      <w:marBottom w:val="0"/>
      <w:divBdr>
        <w:top w:val="none" w:sz="0" w:space="0" w:color="auto"/>
        <w:left w:val="none" w:sz="0" w:space="0" w:color="auto"/>
        <w:bottom w:val="none" w:sz="0" w:space="0" w:color="auto"/>
        <w:right w:val="none" w:sz="0" w:space="0" w:color="auto"/>
      </w:divBdr>
    </w:div>
    <w:div w:id="1903639777">
      <w:bodyDiv w:val="1"/>
      <w:marLeft w:val="0"/>
      <w:marRight w:val="0"/>
      <w:marTop w:val="0"/>
      <w:marBottom w:val="0"/>
      <w:divBdr>
        <w:top w:val="none" w:sz="0" w:space="0" w:color="auto"/>
        <w:left w:val="none" w:sz="0" w:space="0" w:color="auto"/>
        <w:bottom w:val="none" w:sz="0" w:space="0" w:color="auto"/>
        <w:right w:val="none" w:sz="0" w:space="0" w:color="auto"/>
      </w:divBdr>
    </w:div>
    <w:div w:id="1903785293">
      <w:bodyDiv w:val="1"/>
      <w:marLeft w:val="0"/>
      <w:marRight w:val="0"/>
      <w:marTop w:val="0"/>
      <w:marBottom w:val="0"/>
      <w:divBdr>
        <w:top w:val="none" w:sz="0" w:space="0" w:color="auto"/>
        <w:left w:val="none" w:sz="0" w:space="0" w:color="auto"/>
        <w:bottom w:val="none" w:sz="0" w:space="0" w:color="auto"/>
        <w:right w:val="none" w:sz="0" w:space="0" w:color="auto"/>
      </w:divBdr>
      <w:divsChild>
        <w:div w:id="2054772816">
          <w:marLeft w:val="0"/>
          <w:marRight w:val="30"/>
          <w:marTop w:val="0"/>
          <w:marBottom w:val="0"/>
          <w:divBdr>
            <w:top w:val="none" w:sz="0" w:space="0" w:color="auto"/>
            <w:left w:val="none" w:sz="0" w:space="0" w:color="auto"/>
            <w:bottom w:val="none" w:sz="0" w:space="0" w:color="auto"/>
            <w:right w:val="none" w:sz="0" w:space="0" w:color="auto"/>
          </w:divBdr>
          <w:divsChild>
            <w:div w:id="362942321">
              <w:marLeft w:val="0"/>
              <w:marRight w:val="0"/>
              <w:marTop w:val="0"/>
              <w:marBottom w:val="0"/>
              <w:divBdr>
                <w:top w:val="none" w:sz="0" w:space="0" w:color="auto"/>
                <w:left w:val="none" w:sz="0" w:space="0" w:color="auto"/>
                <w:bottom w:val="none" w:sz="0" w:space="0" w:color="auto"/>
                <w:right w:val="none" w:sz="0" w:space="0" w:color="auto"/>
              </w:divBdr>
              <w:divsChild>
                <w:div w:id="1905413626">
                  <w:marLeft w:val="0"/>
                  <w:marRight w:val="0"/>
                  <w:marTop w:val="0"/>
                  <w:marBottom w:val="0"/>
                  <w:divBdr>
                    <w:top w:val="none" w:sz="0" w:space="0" w:color="auto"/>
                    <w:left w:val="none" w:sz="0" w:space="0" w:color="auto"/>
                    <w:bottom w:val="none" w:sz="0" w:space="0" w:color="auto"/>
                    <w:right w:val="none" w:sz="0" w:space="0" w:color="auto"/>
                  </w:divBdr>
                  <w:divsChild>
                    <w:div w:id="11234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13202">
          <w:marLeft w:val="45"/>
          <w:marRight w:val="0"/>
          <w:marTop w:val="0"/>
          <w:marBottom w:val="0"/>
          <w:divBdr>
            <w:top w:val="none" w:sz="0" w:space="0" w:color="auto"/>
            <w:left w:val="none" w:sz="0" w:space="0" w:color="auto"/>
            <w:bottom w:val="none" w:sz="0" w:space="0" w:color="auto"/>
            <w:right w:val="none" w:sz="0" w:space="0" w:color="auto"/>
          </w:divBdr>
        </w:div>
      </w:divsChild>
    </w:div>
    <w:div w:id="1987271338">
      <w:bodyDiv w:val="1"/>
      <w:marLeft w:val="0"/>
      <w:marRight w:val="0"/>
      <w:marTop w:val="0"/>
      <w:marBottom w:val="0"/>
      <w:divBdr>
        <w:top w:val="none" w:sz="0" w:space="0" w:color="auto"/>
        <w:left w:val="none" w:sz="0" w:space="0" w:color="auto"/>
        <w:bottom w:val="none" w:sz="0" w:space="0" w:color="auto"/>
        <w:right w:val="none" w:sz="0" w:space="0" w:color="auto"/>
      </w:divBdr>
    </w:div>
    <w:div w:id="2027560268">
      <w:bodyDiv w:val="1"/>
      <w:marLeft w:val="0"/>
      <w:marRight w:val="0"/>
      <w:marTop w:val="0"/>
      <w:marBottom w:val="0"/>
      <w:divBdr>
        <w:top w:val="none" w:sz="0" w:space="0" w:color="auto"/>
        <w:left w:val="none" w:sz="0" w:space="0" w:color="auto"/>
        <w:bottom w:val="none" w:sz="0" w:space="0" w:color="auto"/>
        <w:right w:val="none" w:sz="0" w:space="0" w:color="auto"/>
      </w:divBdr>
    </w:div>
    <w:div w:id="2035764293">
      <w:bodyDiv w:val="1"/>
      <w:marLeft w:val="0"/>
      <w:marRight w:val="0"/>
      <w:marTop w:val="0"/>
      <w:marBottom w:val="0"/>
      <w:divBdr>
        <w:top w:val="none" w:sz="0" w:space="0" w:color="auto"/>
        <w:left w:val="none" w:sz="0" w:space="0" w:color="auto"/>
        <w:bottom w:val="none" w:sz="0" w:space="0" w:color="auto"/>
        <w:right w:val="none" w:sz="0" w:space="0" w:color="auto"/>
      </w:divBdr>
      <w:divsChild>
        <w:div w:id="361172739">
          <w:marLeft w:val="0"/>
          <w:marRight w:val="0"/>
          <w:marTop w:val="0"/>
          <w:marBottom w:val="0"/>
          <w:divBdr>
            <w:top w:val="none" w:sz="0" w:space="0" w:color="auto"/>
            <w:left w:val="none" w:sz="0" w:space="0" w:color="auto"/>
            <w:bottom w:val="none" w:sz="0" w:space="0" w:color="auto"/>
            <w:right w:val="none" w:sz="0" w:space="0" w:color="auto"/>
          </w:divBdr>
        </w:div>
      </w:divsChild>
    </w:div>
    <w:div w:id="21312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98657\AppData\Local\Micro%20Focus\Content%20Manager\TEMP\HPTRIM.928\CA19%20769116%20%20CPED%20-%20CPOT%20-%20Consultation%20Report%20-%20TEMPLATE%20-%20Accessible%20&amp;%20Corporate%20-%2019%20August%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BB804B7D5CE88C438A30942EBCE63E0B" ma:contentTypeVersion="22" ma:contentTypeDescription="Create a new document." ma:contentTypeScope="" ma:versionID="2258a75f69f3716ca12ea23ae66fde03">
  <xsd:schema xmlns:xsd="http://www.w3.org/2001/XMLSchema" xmlns:xs="http://www.w3.org/2001/XMLSchema" xmlns:p="http://schemas.microsoft.com/office/2006/metadata/properties" xmlns:ns2="01d7cbcd-222b-4542-b5f4-abd7075106f9" xmlns:ns3="1cc3d040-030c-4bbb-a84c-ce010cd8cc5a" targetNamespace="http://schemas.microsoft.com/office/2006/metadata/properties" ma:root="true" ma:fieldsID="2f168c24dc0b93864f53b8211493c6e1" ns2:_="" ns3:_="">
    <xsd:import namespace="01d7cbcd-222b-4542-b5f4-abd7075106f9"/>
    <xsd:import namespace="1cc3d040-030c-4bbb-a84c-ce010cd8cc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_Flow_SignoffStatus"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7cbcd-222b-4542-b5f4-abd707510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3943359-1820-4cb9-a927-eeed1a924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c3d040-030c-4bbb-a84c-ce010cd8cc5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cd20c2-a141-4235-9e7d-3647a0617c98}" ma:internalName="TaxCatchAll" ma:showField="CatchAllData" ma:web="1cc3d040-030c-4bbb-a84c-ce010cd8cc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cc3d040-030c-4bbb-a84c-ce010cd8cc5a" xsi:nil="true"/>
    <lcf76f155ced4ddcb4097134ff3c332f xmlns="01d7cbcd-222b-4542-b5f4-abd7075106f9">
      <Terms xmlns="http://schemas.microsoft.com/office/infopath/2007/PartnerControls"/>
    </lcf76f155ced4ddcb4097134ff3c332f>
    <Notes xmlns="01d7cbcd-222b-4542-b5f4-abd7075106f9" xsi:nil="true"/>
    <_Flow_SignoffStatus xmlns="01d7cbcd-222b-4542-b5f4-abd7075106f9" xsi:nil="true"/>
  </documentManagement>
</p:properties>
</file>

<file path=customXml/itemProps1.xml><?xml version="1.0" encoding="utf-8"?>
<ds:datastoreItem xmlns:ds="http://schemas.openxmlformats.org/officeDocument/2006/customXml" ds:itemID="{1C0C320B-5C55-48AE-ACDF-F5B4198E2F4F}">
  <ds:schemaRefs>
    <ds:schemaRef ds:uri="http://schemas.openxmlformats.org/officeDocument/2006/bibliography"/>
  </ds:schemaRefs>
</ds:datastoreItem>
</file>

<file path=customXml/itemProps2.xml><?xml version="1.0" encoding="utf-8"?>
<ds:datastoreItem xmlns:ds="http://schemas.openxmlformats.org/officeDocument/2006/customXml" ds:itemID="{79B458A3-EB8D-4CD2-803F-5FBDCA288E4E}"/>
</file>

<file path=customXml/itemProps3.xml><?xml version="1.0" encoding="utf-8"?>
<ds:datastoreItem xmlns:ds="http://schemas.openxmlformats.org/officeDocument/2006/customXml" ds:itemID="{FE042E5D-B447-4997-8727-80AF6D0B51A8}"/>
</file>

<file path=customXml/itemProps4.xml><?xml version="1.0" encoding="utf-8"?>
<ds:datastoreItem xmlns:ds="http://schemas.openxmlformats.org/officeDocument/2006/customXml" ds:itemID="{5F501098-E395-4DCD-ACC7-9D4FBC0A2948}"/>
</file>

<file path=docProps/app.xml><?xml version="1.0" encoding="utf-8"?>
<Properties xmlns="http://schemas.openxmlformats.org/officeDocument/2006/extended-properties" xmlns:vt="http://schemas.openxmlformats.org/officeDocument/2006/docPropsVTypes">
  <Template>CA19 769116  CPED - CPOT - Consultation Report - TEMPLATE - Accessible &amp; Corporate - 19 August 2019.DOTX</Template>
  <TotalTime>1</TotalTime>
  <Pages>32</Pages>
  <Words>10055</Words>
  <Characters>57319</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Brisbane City Council</Company>
  <LinksUpToDate>false</LinksUpToDate>
  <CharactersWithSpaces>67240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Foster</dc:creator>
  <cp:keywords/>
  <dc:description/>
  <cp:lastModifiedBy>Anna Welsby</cp:lastModifiedBy>
  <cp:revision>2</cp:revision>
  <cp:lastPrinted>2021-11-05T05:23:00Z</cp:lastPrinted>
  <dcterms:created xsi:type="dcterms:W3CDTF">2022-10-20T06:26:00Z</dcterms:created>
  <dcterms:modified xsi:type="dcterms:W3CDTF">2022-10-20T06:26:00Z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0x010100BB804B7D5CE88C438A30942EBCE63E0B</vt:lpwstr>
  </property>
</Properties>
</file>