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7468" w14:textId="2B80391C" w:rsidR="00463ADC" w:rsidRPr="00463ADC" w:rsidRDefault="0063579B" w:rsidP="0004658C">
      <w:pPr>
        <w:pStyle w:val="Heading1"/>
      </w:pPr>
      <w:r>
        <w:rPr>
          <w:noProof/>
          <w:lang w:val="en-AU" w:eastAsia="en-AU"/>
        </w:rPr>
        <mc:AlternateContent>
          <mc:Choice Requires="wps">
            <w:drawing>
              <wp:anchor distT="0" distB="0" distL="114300" distR="114300" simplePos="0" relativeHeight="251659264" behindDoc="0" locked="0" layoutInCell="1" allowOverlap="1" wp14:anchorId="711BA1D7" wp14:editId="7AA206B6">
                <wp:simplePos x="0" y="0"/>
                <wp:positionH relativeFrom="column">
                  <wp:posOffset>-129540</wp:posOffset>
                </wp:positionH>
                <wp:positionV relativeFrom="paragraph">
                  <wp:posOffset>-411480</wp:posOffset>
                </wp:positionV>
                <wp:extent cx="5814060" cy="998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4060" cy="998220"/>
                        </a:xfrm>
                        <a:prstGeom prst="rect">
                          <a:avLst/>
                        </a:prstGeom>
                        <a:noFill/>
                        <a:ln w="6350">
                          <a:noFill/>
                        </a:ln>
                      </wps:spPr>
                      <wps:txbx>
                        <w:txbxContent>
                          <w:p w14:paraId="7FEF3CDC" w14:textId="10879456" w:rsidR="0063579B" w:rsidRPr="0063579B" w:rsidRDefault="00A907E8" w:rsidP="00A907E8">
                            <w:pPr>
                              <w:pStyle w:val="Heading1"/>
                            </w:pPr>
                            <w:r>
                              <w:t>Brisbane Economic Snapshot</w:t>
                            </w:r>
                            <w:r>
                              <w:t xml:space="preserve"> – October to 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A1D7" id="_x0000_t202" coordsize="21600,21600" o:spt="202" path="m,l,21600r21600,l21600,xe">
                <v:stroke joinstyle="miter"/>
                <v:path gradientshapeok="t" o:connecttype="rect"/>
              </v:shapetype>
              <v:shape id="Text Box 3" o:spid="_x0000_s1026" type="#_x0000_t202" style="position:absolute;margin-left:-10.2pt;margin-top:-32.4pt;width:457.8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" filled="f" stroked="f" strokeweight=".5pt">
                <v:textbox>
                  <w:txbxContent>
                    <w:p w14:paraId="7FEF3CDC" w14:textId="10879456" w:rsidR="0063579B" w:rsidRPr="0063579B" w:rsidRDefault="00A907E8" w:rsidP="00A907E8">
                      <w:pPr>
                        <w:pStyle w:val="Heading1"/>
                      </w:pPr>
                      <w:r>
                        <w:t>Brisbane Economic Snapshot</w:t>
                      </w:r>
                      <w:r>
                        <w:t xml:space="preserve"> – October to December 2019</w:t>
                      </w:r>
                    </w:p>
                  </w:txbxContent>
                </v:textbox>
              </v:shape>
            </w:pict>
          </mc:Fallback>
        </mc:AlternateContent>
      </w:r>
    </w:p>
    <w:p w14:paraId="52F4746E" w14:textId="77777777" w:rsidR="00A907E8" w:rsidRDefault="00A907E8" w:rsidP="00A907E8">
      <w:pPr>
        <w:pStyle w:val="Heading2"/>
      </w:pPr>
    </w:p>
    <w:p w14:paraId="107CBE42" w14:textId="34E86842" w:rsidR="00A907E8" w:rsidRDefault="00A907E8" w:rsidP="00A907E8">
      <w:pPr>
        <w:pStyle w:val="Heading2"/>
      </w:pPr>
      <w:bookmarkStart w:id="0" w:name="_GoBack"/>
      <w:bookmarkEnd w:id="0"/>
      <w:r>
        <w:t>Key Facts Highlights</w:t>
      </w:r>
    </w:p>
    <w:p w14:paraId="1C9BA15A" w14:textId="77777777" w:rsidR="00A907E8" w:rsidRDefault="00A907E8" w:rsidP="00A907E8">
      <w:pPr>
        <w:pStyle w:val="ListParagraph"/>
        <w:numPr>
          <w:ilvl w:val="0"/>
          <w:numId w:val="1"/>
        </w:numPr>
      </w:pPr>
      <w:r>
        <w:t>$171 billion: Greater Brisbane Economy</w:t>
      </w:r>
    </w:p>
    <w:p w14:paraId="1989B617" w14:textId="77777777" w:rsidR="00A907E8" w:rsidRDefault="00A907E8" w:rsidP="00A907E8">
      <w:pPr>
        <w:pStyle w:val="ListParagraph"/>
        <w:numPr>
          <w:ilvl w:val="0"/>
          <w:numId w:val="1"/>
        </w:numPr>
      </w:pPr>
      <w:r>
        <w:t>205,747:</w:t>
      </w:r>
      <w:r w:rsidRPr="006B2416">
        <w:t xml:space="preserve"> </w:t>
      </w:r>
      <w:r>
        <w:t>Greater Brisbane Businesses</w:t>
      </w:r>
    </w:p>
    <w:p w14:paraId="531B5344" w14:textId="77777777" w:rsidR="00A907E8" w:rsidRDefault="00A907E8" w:rsidP="00A907E8">
      <w:pPr>
        <w:pStyle w:val="ListParagraph"/>
        <w:numPr>
          <w:ilvl w:val="0"/>
          <w:numId w:val="1"/>
        </w:numPr>
      </w:pPr>
      <w:r w:rsidRPr="006B2416">
        <w:t>2,</w:t>
      </w:r>
      <w:r>
        <w:t>462,637:</w:t>
      </w:r>
      <w:r w:rsidRPr="006B2416">
        <w:t xml:space="preserve"> </w:t>
      </w:r>
      <w:r>
        <w:t>Greater Brisbane Population</w:t>
      </w:r>
    </w:p>
    <w:p w14:paraId="5A563969" w14:textId="77777777" w:rsidR="00A907E8" w:rsidRDefault="00A907E8" w:rsidP="00A907E8">
      <w:pPr>
        <w:pStyle w:val="ListParagraph"/>
        <w:numPr>
          <w:ilvl w:val="0"/>
          <w:numId w:val="1"/>
        </w:numPr>
      </w:pPr>
      <w:r w:rsidRPr="006B2416">
        <w:t>1,</w:t>
      </w:r>
      <w:r>
        <w:t>259,013:</w:t>
      </w:r>
      <w:r w:rsidRPr="006B2416">
        <w:t xml:space="preserve"> </w:t>
      </w:r>
      <w:r>
        <w:t>Greater Brisbane Employment</w:t>
      </w:r>
    </w:p>
    <w:p w14:paraId="38E54597" w14:textId="77777777" w:rsidR="00A907E8" w:rsidRDefault="00A907E8" w:rsidP="00A907E8">
      <w:pPr>
        <w:pStyle w:val="ListParagraph"/>
        <w:numPr>
          <w:ilvl w:val="0"/>
          <w:numId w:val="1"/>
        </w:numPr>
      </w:pPr>
      <w:r w:rsidRPr="006B2416">
        <w:t>1,622,626</w:t>
      </w:r>
      <w:r>
        <w:t>:</w:t>
      </w:r>
      <w:r w:rsidRPr="006B2416">
        <w:t xml:space="preserve"> </w:t>
      </w:r>
      <w:r>
        <w:t>Greater Brisbane Employment Forecast 2041</w:t>
      </w:r>
    </w:p>
    <w:p w14:paraId="4EAB8088" w14:textId="77777777" w:rsidR="00A907E8" w:rsidRDefault="00A907E8" w:rsidP="00A907E8">
      <w:pPr>
        <w:pStyle w:val="ListParagraph"/>
        <w:numPr>
          <w:ilvl w:val="0"/>
          <w:numId w:val="1"/>
        </w:numPr>
      </w:pPr>
      <w:r>
        <w:t>127,895: Businesses in Brisbane LGA</w:t>
      </w:r>
    </w:p>
    <w:p w14:paraId="246EB09C" w14:textId="77777777" w:rsidR="00A907E8" w:rsidRDefault="00A907E8" w:rsidP="00A907E8"/>
    <w:p w14:paraId="457A03EC" w14:textId="77777777" w:rsidR="00A907E8" w:rsidRDefault="00A907E8" w:rsidP="00A907E8"/>
    <w:p w14:paraId="74F557DD" w14:textId="77777777" w:rsidR="00A907E8" w:rsidRPr="00A907E8" w:rsidRDefault="00A907E8" w:rsidP="00A907E8">
      <w:pPr>
        <w:rPr>
          <w:sz w:val="20"/>
          <w:szCs w:val="20"/>
        </w:rPr>
      </w:pPr>
      <w:r w:rsidRPr="00A907E8">
        <w:rPr>
          <w:sz w:val="20"/>
          <w:szCs w:val="20"/>
        </w:rPr>
        <w:t>Sources: Brisbane City Council uses a range of sources (available at time of print) to compile this information, including Australian Bureau of Statistics (ABS) and Queensland Treasury.</w:t>
      </w:r>
    </w:p>
    <w:p w14:paraId="03389F0B" w14:textId="77777777" w:rsidR="00A907E8" w:rsidRDefault="00A907E8" w:rsidP="00A907E8"/>
    <w:p w14:paraId="2E3A0FE3" w14:textId="77777777" w:rsidR="00A907E8" w:rsidRPr="00A907E8" w:rsidRDefault="00A907E8" w:rsidP="00A907E8">
      <w:pPr>
        <w:rPr>
          <w:sz w:val="22"/>
          <w:szCs w:val="22"/>
        </w:rPr>
      </w:pPr>
      <w:r w:rsidRPr="00A907E8">
        <w:rPr>
          <w:sz w:val="22"/>
          <w:szCs w:val="22"/>
        </w:rPr>
        <w:t xml:space="preserve">For the full Brisbane Economic Snapshot, please visit </w:t>
      </w:r>
      <w:hyperlink r:id="rId8" w:history="1">
        <w:r w:rsidRPr="00A907E8">
          <w:rPr>
            <w:rStyle w:val="Hyperlink"/>
            <w:b/>
            <w:sz w:val="22"/>
            <w:szCs w:val="22"/>
          </w:rPr>
          <w:t>brisbane.qld.gov.au/business</w:t>
        </w:r>
      </w:hyperlink>
      <w:r w:rsidRPr="00A907E8">
        <w:rPr>
          <w:sz w:val="22"/>
          <w:szCs w:val="22"/>
        </w:rPr>
        <w:t xml:space="preserve"> and search ‘Economic Snapshot’.</w:t>
      </w:r>
    </w:p>
    <w:p w14:paraId="0480355D" w14:textId="77777777" w:rsidR="00A907E8" w:rsidRDefault="00A907E8" w:rsidP="00A907E8"/>
    <w:p w14:paraId="458BD640" w14:textId="77777777" w:rsidR="00A907E8" w:rsidRDefault="00A907E8" w:rsidP="00A907E8">
      <w:pPr>
        <w:pStyle w:val="Heading2"/>
      </w:pPr>
      <w:proofErr w:type="gramStart"/>
      <w:r>
        <w:t>Small in Size</w:t>
      </w:r>
      <w:proofErr w:type="gramEnd"/>
      <w:r>
        <w:t>, Big in Stature</w:t>
      </w:r>
    </w:p>
    <w:p w14:paraId="20A72833" w14:textId="77777777" w:rsidR="00A907E8" w:rsidRPr="00F60AA1" w:rsidRDefault="00A907E8" w:rsidP="00A907E8"/>
    <w:p w14:paraId="47BDE2ED" w14:textId="77777777" w:rsidR="00A907E8" w:rsidRPr="00A907E8" w:rsidRDefault="00A907E8" w:rsidP="00A907E8">
      <w:pPr>
        <w:autoSpaceDE w:val="0"/>
        <w:autoSpaceDN w:val="0"/>
        <w:adjustRightInd w:val="0"/>
        <w:rPr>
          <w:sz w:val="22"/>
          <w:szCs w:val="22"/>
        </w:rPr>
      </w:pPr>
      <w:r w:rsidRPr="00A907E8">
        <w:rPr>
          <w:sz w:val="22"/>
          <w:szCs w:val="22"/>
        </w:rPr>
        <w:t xml:space="preserve">Small businesses are the backbone of the Brisbane economy and sit at the core of every industry sector. They form the foundation of our neighbourhoods, providing innovation and diversity, and often giving our youth their first taste of working life. Small businesses may be </w:t>
      </w:r>
      <w:proofErr w:type="gramStart"/>
      <w:r w:rsidRPr="00A907E8">
        <w:rPr>
          <w:sz w:val="22"/>
          <w:szCs w:val="22"/>
        </w:rPr>
        <w:t>small in size</w:t>
      </w:r>
      <w:proofErr w:type="gramEnd"/>
      <w:r w:rsidRPr="00A907E8">
        <w:rPr>
          <w:sz w:val="22"/>
          <w:szCs w:val="22"/>
        </w:rPr>
        <w:t>, but they are big in stature.</w:t>
      </w:r>
    </w:p>
    <w:p w14:paraId="5AB772FD" w14:textId="77777777" w:rsidR="00A907E8" w:rsidRPr="00A907E8" w:rsidRDefault="00A907E8" w:rsidP="00A907E8">
      <w:pPr>
        <w:autoSpaceDE w:val="0"/>
        <w:autoSpaceDN w:val="0"/>
        <w:adjustRightInd w:val="0"/>
        <w:rPr>
          <w:sz w:val="22"/>
          <w:szCs w:val="22"/>
        </w:rPr>
      </w:pPr>
    </w:p>
    <w:p w14:paraId="4AC34C65" w14:textId="77777777" w:rsidR="00A907E8" w:rsidRPr="00A907E8" w:rsidRDefault="00A907E8" w:rsidP="00A907E8">
      <w:pPr>
        <w:autoSpaceDE w:val="0"/>
        <w:autoSpaceDN w:val="0"/>
        <w:adjustRightInd w:val="0"/>
        <w:rPr>
          <w:sz w:val="22"/>
          <w:szCs w:val="22"/>
        </w:rPr>
      </w:pPr>
      <w:r w:rsidRPr="00A907E8">
        <w:rPr>
          <w:sz w:val="22"/>
          <w:szCs w:val="22"/>
        </w:rPr>
        <w:t>Council uses the Australian Bureau of Statistics (ABS) guidelines to define businesses.</w:t>
      </w:r>
    </w:p>
    <w:p w14:paraId="41569B87" w14:textId="77777777" w:rsidR="00A907E8" w:rsidRPr="00A907E8" w:rsidRDefault="00A907E8" w:rsidP="00A907E8">
      <w:pPr>
        <w:autoSpaceDE w:val="0"/>
        <w:autoSpaceDN w:val="0"/>
        <w:adjustRightInd w:val="0"/>
        <w:rPr>
          <w:sz w:val="22"/>
          <w:szCs w:val="22"/>
        </w:rPr>
      </w:pPr>
    </w:p>
    <w:p w14:paraId="329965E8" w14:textId="77777777" w:rsidR="00A907E8" w:rsidRPr="00A907E8" w:rsidRDefault="00A907E8" w:rsidP="00A907E8">
      <w:pPr>
        <w:autoSpaceDE w:val="0"/>
        <w:autoSpaceDN w:val="0"/>
        <w:adjustRightInd w:val="0"/>
        <w:rPr>
          <w:sz w:val="22"/>
          <w:szCs w:val="22"/>
        </w:rPr>
      </w:pPr>
      <w:r w:rsidRPr="00A907E8">
        <w:rPr>
          <w:sz w:val="22"/>
          <w:szCs w:val="22"/>
        </w:rPr>
        <w:t xml:space="preserve">• </w:t>
      </w:r>
      <w:r w:rsidRPr="00A907E8">
        <w:rPr>
          <w:b/>
          <w:sz w:val="22"/>
          <w:szCs w:val="22"/>
        </w:rPr>
        <w:t>Small business:</w:t>
      </w:r>
      <w:r w:rsidRPr="00A907E8">
        <w:rPr>
          <w:sz w:val="22"/>
          <w:szCs w:val="22"/>
        </w:rPr>
        <w:t xml:space="preserve"> Those with 0-19 employees, which are further categorised as small non-employing businesses (sole proprietorships and partnerships without employees) and small employing businesses (employing 1-19 persons).</w:t>
      </w:r>
    </w:p>
    <w:p w14:paraId="41E74348" w14:textId="77777777" w:rsidR="00A907E8" w:rsidRPr="00A907E8" w:rsidRDefault="00A907E8" w:rsidP="00A907E8">
      <w:pPr>
        <w:autoSpaceDE w:val="0"/>
        <w:autoSpaceDN w:val="0"/>
        <w:adjustRightInd w:val="0"/>
        <w:rPr>
          <w:sz w:val="22"/>
          <w:szCs w:val="22"/>
        </w:rPr>
      </w:pPr>
    </w:p>
    <w:p w14:paraId="600CFE5E" w14:textId="77777777" w:rsidR="00A907E8" w:rsidRPr="00A907E8" w:rsidRDefault="00A907E8" w:rsidP="00A907E8">
      <w:pPr>
        <w:autoSpaceDE w:val="0"/>
        <w:autoSpaceDN w:val="0"/>
        <w:adjustRightInd w:val="0"/>
        <w:rPr>
          <w:sz w:val="22"/>
          <w:szCs w:val="22"/>
        </w:rPr>
      </w:pPr>
      <w:r w:rsidRPr="00A907E8">
        <w:rPr>
          <w:sz w:val="22"/>
          <w:szCs w:val="22"/>
        </w:rPr>
        <w:t xml:space="preserve">• </w:t>
      </w:r>
      <w:r w:rsidRPr="00A907E8">
        <w:rPr>
          <w:b/>
          <w:sz w:val="22"/>
          <w:szCs w:val="22"/>
        </w:rPr>
        <w:t>Medium businesses:</w:t>
      </w:r>
      <w:r w:rsidRPr="00A907E8">
        <w:rPr>
          <w:sz w:val="22"/>
          <w:szCs w:val="22"/>
        </w:rPr>
        <w:t xml:space="preserve"> Those employing 20-199 employees.</w:t>
      </w:r>
    </w:p>
    <w:p w14:paraId="6D87347D" w14:textId="77777777" w:rsidR="00A907E8" w:rsidRPr="00A907E8" w:rsidRDefault="00A907E8" w:rsidP="00A907E8">
      <w:pPr>
        <w:autoSpaceDE w:val="0"/>
        <w:autoSpaceDN w:val="0"/>
        <w:adjustRightInd w:val="0"/>
        <w:rPr>
          <w:sz w:val="22"/>
          <w:szCs w:val="22"/>
        </w:rPr>
      </w:pPr>
    </w:p>
    <w:p w14:paraId="76F57F2A" w14:textId="77777777" w:rsidR="00A907E8" w:rsidRPr="00A907E8" w:rsidRDefault="00A907E8" w:rsidP="00A907E8">
      <w:pPr>
        <w:autoSpaceDE w:val="0"/>
        <w:autoSpaceDN w:val="0"/>
        <w:adjustRightInd w:val="0"/>
        <w:rPr>
          <w:sz w:val="22"/>
          <w:szCs w:val="22"/>
        </w:rPr>
      </w:pPr>
      <w:r w:rsidRPr="00A907E8">
        <w:rPr>
          <w:sz w:val="22"/>
          <w:szCs w:val="22"/>
        </w:rPr>
        <w:t xml:space="preserve">• </w:t>
      </w:r>
      <w:r w:rsidRPr="00A907E8">
        <w:rPr>
          <w:b/>
          <w:sz w:val="22"/>
          <w:szCs w:val="22"/>
        </w:rPr>
        <w:t>Large businesses:</w:t>
      </w:r>
      <w:r w:rsidRPr="00A907E8">
        <w:rPr>
          <w:sz w:val="22"/>
          <w:szCs w:val="22"/>
        </w:rPr>
        <w:t xml:space="preserve"> Those employing 200 or more employees. According to figures from the ABS, in June 2018 there were more than 124,000 small businesses in Brisbane, accounting for 97.4% of total registered businesses. Medium size businesses accounted for 2.5% of businesses, while large businesses accounted for 0.1% of businesses in the Brisbane Local Government Area (LGA). </w:t>
      </w:r>
    </w:p>
    <w:p w14:paraId="431C73DB" w14:textId="77777777" w:rsidR="00A907E8" w:rsidRPr="00A907E8" w:rsidRDefault="00A907E8" w:rsidP="00A907E8">
      <w:pPr>
        <w:autoSpaceDE w:val="0"/>
        <w:autoSpaceDN w:val="0"/>
        <w:adjustRightInd w:val="0"/>
        <w:rPr>
          <w:sz w:val="22"/>
          <w:szCs w:val="22"/>
        </w:rPr>
      </w:pPr>
    </w:p>
    <w:p w14:paraId="35956D4E" w14:textId="77777777" w:rsidR="00A907E8" w:rsidRPr="00A907E8" w:rsidRDefault="00A907E8" w:rsidP="00A907E8">
      <w:pPr>
        <w:autoSpaceDE w:val="0"/>
        <w:autoSpaceDN w:val="0"/>
        <w:adjustRightInd w:val="0"/>
        <w:rPr>
          <w:sz w:val="22"/>
          <w:szCs w:val="22"/>
        </w:rPr>
      </w:pPr>
      <w:r w:rsidRPr="00A907E8">
        <w:rPr>
          <w:sz w:val="22"/>
          <w:szCs w:val="22"/>
        </w:rPr>
        <w:t>The highest concentration of small businesses is in the inner city. Brisbane City, Paddington–Milton, Newstead–Bowen Hills, Fortitude Valley and Spring Hill had the highest number of small businesses in the Brisbane LGA in 2018.</w:t>
      </w:r>
    </w:p>
    <w:p w14:paraId="408F0D85" w14:textId="77777777" w:rsidR="00A907E8" w:rsidRDefault="00A907E8" w:rsidP="00A907E8">
      <w:pPr>
        <w:autoSpaceDE w:val="0"/>
        <w:autoSpaceDN w:val="0"/>
        <w:adjustRightInd w:val="0"/>
      </w:pPr>
    </w:p>
    <w:p w14:paraId="4B068C65" w14:textId="77777777" w:rsidR="00A907E8" w:rsidRPr="00A907E8" w:rsidRDefault="00A907E8" w:rsidP="00A907E8">
      <w:pPr>
        <w:autoSpaceDE w:val="0"/>
        <w:autoSpaceDN w:val="0"/>
        <w:adjustRightInd w:val="0"/>
        <w:rPr>
          <w:sz w:val="22"/>
          <w:szCs w:val="22"/>
        </w:rPr>
      </w:pPr>
      <w:r w:rsidRPr="00A907E8">
        <w:rPr>
          <w:sz w:val="22"/>
          <w:szCs w:val="22"/>
        </w:rPr>
        <w:t>Small businesses are an integral part of almost every industry sector in Brisbane. The professional, scientific and technical services industry has the largest share of small business (17%), followed by rental, hiring and real estate services (13%), and construction (13%).</w:t>
      </w:r>
    </w:p>
    <w:p w14:paraId="5544D9CE" w14:textId="77777777" w:rsidR="00A907E8" w:rsidRDefault="00A907E8" w:rsidP="00A907E8">
      <w:pPr>
        <w:autoSpaceDE w:val="0"/>
        <w:autoSpaceDN w:val="0"/>
        <w:adjustRightInd w:val="0"/>
      </w:pPr>
    </w:p>
    <w:p w14:paraId="6845BFC0" w14:textId="77777777" w:rsidR="00A907E8" w:rsidRDefault="00A907E8">
      <w:pPr>
        <w:rPr>
          <w:rFonts w:eastAsiaTheme="majorEastAsia" w:cstheme="majorBidi"/>
          <w:color w:val="2F5496" w:themeColor="accent1" w:themeShade="BF"/>
          <w:sz w:val="32"/>
          <w:szCs w:val="26"/>
        </w:rPr>
      </w:pPr>
      <w:r>
        <w:br w:type="page"/>
      </w:r>
    </w:p>
    <w:p w14:paraId="4D6488E1" w14:textId="56DA1F49" w:rsidR="00A907E8" w:rsidRDefault="00A907E8" w:rsidP="00A907E8">
      <w:pPr>
        <w:pStyle w:val="Heading2"/>
      </w:pPr>
      <w:r w:rsidRPr="00F34099">
        <w:lastRenderedPageBreak/>
        <w:t xml:space="preserve">Top 10 Small Business Industries in Brisbane </w:t>
      </w:r>
    </w:p>
    <w:p w14:paraId="08EF1B00" w14:textId="77777777" w:rsidR="00A907E8" w:rsidRPr="00A907E8" w:rsidRDefault="00A907E8" w:rsidP="00A907E8"/>
    <w:tbl>
      <w:tblPr>
        <w:tblStyle w:val="TableGrid"/>
        <w:tblW w:w="0" w:type="auto"/>
        <w:tblLook w:val="04A0" w:firstRow="1" w:lastRow="0" w:firstColumn="1" w:lastColumn="0" w:noHBand="0" w:noVBand="1"/>
      </w:tblPr>
      <w:tblGrid>
        <w:gridCol w:w="4518"/>
        <w:gridCol w:w="4492"/>
      </w:tblGrid>
      <w:tr w:rsidR="00A907E8" w:rsidRPr="00C01FEF" w14:paraId="76561B00" w14:textId="77777777" w:rsidTr="001459EE">
        <w:tc>
          <w:tcPr>
            <w:tcW w:w="4744" w:type="dxa"/>
            <w:shd w:val="clear" w:color="auto" w:fill="000000" w:themeFill="text1"/>
          </w:tcPr>
          <w:p w14:paraId="24E3FFCC" w14:textId="77777777" w:rsidR="00A907E8" w:rsidRPr="00C01FEF" w:rsidRDefault="00A907E8" w:rsidP="001459EE">
            <w:pPr>
              <w:jc w:val="center"/>
              <w:rPr>
                <w:b/>
                <w:color w:val="FFFFFF" w:themeColor="background1"/>
                <w:highlight w:val="black"/>
              </w:rPr>
            </w:pPr>
            <w:r w:rsidRPr="00C01FEF">
              <w:rPr>
                <w:b/>
                <w:color w:val="FFFFFF" w:themeColor="background1"/>
                <w:highlight w:val="black"/>
              </w:rPr>
              <w:t>Industry</w:t>
            </w:r>
          </w:p>
        </w:tc>
        <w:tc>
          <w:tcPr>
            <w:tcW w:w="4744" w:type="dxa"/>
            <w:shd w:val="clear" w:color="auto" w:fill="000000" w:themeFill="text1"/>
          </w:tcPr>
          <w:p w14:paraId="59D909B4" w14:textId="77777777" w:rsidR="00A907E8" w:rsidRPr="00C01FEF" w:rsidRDefault="00A907E8" w:rsidP="001459EE">
            <w:pPr>
              <w:jc w:val="center"/>
              <w:rPr>
                <w:b/>
                <w:color w:val="FFFFFF" w:themeColor="background1"/>
              </w:rPr>
            </w:pPr>
            <w:r w:rsidRPr="00C01FEF">
              <w:rPr>
                <w:b/>
                <w:highlight w:val="black"/>
              </w:rPr>
              <w:t>Percentage share of small businesses</w:t>
            </w:r>
          </w:p>
        </w:tc>
      </w:tr>
      <w:tr w:rsidR="00A907E8" w14:paraId="1F754421" w14:textId="77777777" w:rsidTr="001459EE">
        <w:tc>
          <w:tcPr>
            <w:tcW w:w="4744" w:type="dxa"/>
          </w:tcPr>
          <w:p w14:paraId="6056BC52" w14:textId="77777777" w:rsidR="00A907E8" w:rsidRDefault="00A907E8" w:rsidP="001459EE">
            <w:r w:rsidRPr="00C01FEF">
              <w:t xml:space="preserve">Professional, </w:t>
            </w:r>
            <w:r>
              <w:t>s</w:t>
            </w:r>
            <w:r w:rsidRPr="00C01FEF">
              <w:t xml:space="preserve">cientific and </w:t>
            </w:r>
            <w:r>
              <w:t>t</w:t>
            </w:r>
            <w:r w:rsidRPr="00C01FEF">
              <w:t xml:space="preserve">echnical </w:t>
            </w:r>
            <w:r>
              <w:t>s</w:t>
            </w:r>
            <w:r w:rsidRPr="00C01FEF">
              <w:t>ervices</w:t>
            </w:r>
          </w:p>
        </w:tc>
        <w:tc>
          <w:tcPr>
            <w:tcW w:w="4744" w:type="dxa"/>
          </w:tcPr>
          <w:p w14:paraId="7A837039" w14:textId="77777777" w:rsidR="00A907E8" w:rsidRDefault="00A907E8" w:rsidP="001459EE">
            <w:r>
              <w:t>17</w:t>
            </w:r>
          </w:p>
        </w:tc>
      </w:tr>
      <w:tr w:rsidR="00A907E8" w14:paraId="75BFC705" w14:textId="77777777" w:rsidTr="001459EE">
        <w:tc>
          <w:tcPr>
            <w:tcW w:w="4744" w:type="dxa"/>
          </w:tcPr>
          <w:p w14:paraId="70C35E8E" w14:textId="77777777" w:rsidR="00A907E8" w:rsidRDefault="00A907E8" w:rsidP="001459EE">
            <w:r w:rsidRPr="00C01FEF">
              <w:t xml:space="preserve">Rental, </w:t>
            </w:r>
            <w:r>
              <w:t>h</w:t>
            </w:r>
            <w:r w:rsidRPr="00C01FEF">
              <w:t xml:space="preserve">iring and </w:t>
            </w:r>
            <w:r>
              <w:t>r</w:t>
            </w:r>
            <w:r w:rsidRPr="00C01FEF">
              <w:t xml:space="preserve">eal </w:t>
            </w:r>
            <w:r>
              <w:t>e</w:t>
            </w:r>
            <w:r w:rsidRPr="00C01FEF">
              <w:t xml:space="preserve">state </w:t>
            </w:r>
            <w:r>
              <w:t>s</w:t>
            </w:r>
            <w:r w:rsidRPr="00C01FEF">
              <w:t>ervices</w:t>
            </w:r>
          </w:p>
        </w:tc>
        <w:tc>
          <w:tcPr>
            <w:tcW w:w="4744" w:type="dxa"/>
          </w:tcPr>
          <w:p w14:paraId="120F731C" w14:textId="77777777" w:rsidR="00A907E8" w:rsidRDefault="00A907E8" w:rsidP="001459EE">
            <w:r>
              <w:t>13</w:t>
            </w:r>
          </w:p>
        </w:tc>
      </w:tr>
      <w:tr w:rsidR="00A907E8" w14:paraId="7F9351F4" w14:textId="77777777" w:rsidTr="001459EE">
        <w:tc>
          <w:tcPr>
            <w:tcW w:w="4744" w:type="dxa"/>
          </w:tcPr>
          <w:p w14:paraId="59430074" w14:textId="77777777" w:rsidR="00A907E8" w:rsidRDefault="00A907E8" w:rsidP="001459EE">
            <w:r w:rsidRPr="00C01FEF">
              <w:t>Construction</w:t>
            </w:r>
          </w:p>
        </w:tc>
        <w:tc>
          <w:tcPr>
            <w:tcW w:w="4744" w:type="dxa"/>
          </w:tcPr>
          <w:p w14:paraId="7A7542DF" w14:textId="77777777" w:rsidR="00A907E8" w:rsidRDefault="00A907E8" w:rsidP="001459EE">
            <w:r>
              <w:t>13</w:t>
            </w:r>
          </w:p>
        </w:tc>
      </w:tr>
      <w:tr w:rsidR="00A907E8" w14:paraId="08695D38" w14:textId="77777777" w:rsidTr="001459EE">
        <w:tc>
          <w:tcPr>
            <w:tcW w:w="4744" w:type="dxa"/>
          </w:tcPr>
          <w:p w14:paraId="51BC020A" w14:textId="77777777" w:rsidR="00A907E8" w:rsidRDefault="00A907E8" w:rsidP="001459EE">
            <w:r w:rsidRPr="00C01FEF">
              <w:t xml:space="preserve">Financial and </w:t>
            </w:r>
            <w:r>
              <w:t>i</w:t>
            </w:r>
            <w:r w:rsidRPr="00C01FEF">
              <w:t xml:space="preserve">nsurance </w:t>
            </w:r>
            <w:r>
              <w:t>s</w:t>
            </w:r>
            <w:r w:rsidRPr="00C01FEF">
              <w:t>ervices</w:t>
            </w:r>
          </w:p>
        </w:tc>
        <w:tc>
          <w:tcPr>
            <w:tcW w:w="4744" w:type="dxa"/>
          </w:tcPr>
          <w:p w14:paraId="34A711F9" w14:textId="77777777" w:rsidR="00A907E8" w:rsidRDefault="00A907E8" w:rsidP="001459EE">
            <w:r>
              <w:t>12</w:t>
            </w:r>
          </w:p>
        </w:tc>
      </w:tr>
      <w:tr w:rsidR="00A907E8" w14:paraId="54A0101A" w14:textId="77777777" w:rsidTr="001459EE">
        <w:tc>
          <w:tcPr>
            <w:tcW w:w="4744" w:type="dxa"/>
          </w:tcPr>
          <w:p w14:paraId="4D29E610" w14:textId="77777777" w:rsidR="00A907E8" w:rsidRDefault="00A907E8" w:rsidP="001459EE">
            <w:r w:rsidRPr="00C01FEF">
              <w:t xml:space="preserve">Health </w:t>
            </w:r>
            <w:r>
              <w:t>c</w:t>
            </w:r>
            <w:r w:rsidRPr="00C01FEF">
              <w:t xml:space="preserve">are and </w:t>
            </w:r>
            <w:r>
              <w:t>s</w:t>
            </w:r>
            <w:r w:rsidRPr="00C01FEF">
              <w:t xml:space="preserve">ocial </w:t>
            </w:r>
            <w:r>
              <w:t>a</w:t>
            </w:r>
            <w:r w:rsidRPr="00C01FEF">
              <w:t>ssistance</w:t>
            </w:r>
          </w:p>
        </w:tc>
        <w:tc>
          <w:tcPr>
            <w:tcW w:w="4744" w:type="dxa"/>
          </w:tcPr>
          <w:p w14:paraId="5B6BE0E8" w14:textId="77777777" w:rsidR="00A907E8" w:rsidRDefault="00A907E8" w:rsidP="001459EE">
            <w:r>
              <w:t>8</w:t>
            </w:r>
          </w:p>
        </w:tc>
      </w:tr>
      <w:tr w:rsidR="00A907E8" w14:paraId="7AED9ADE" w14:textId="77777777" w:rsidTr="001459EE">
        <w:tc>
          <w:tcPr>
            <w:tcW w:w="4744" w:type="dxa"/>
          </w:tcPr>
          <w:p w14:paraId="1B969DE6" w14:textId="77777777" w:rsidR="00A907E8" w:rsidRDefault="00A907E8" w:rsidP="001459EE">
            <w:r w:rsidRPr="00C01FEF">
              <w:t xml:space="preserve">Transport, </w:t>
            </w:r>
            <w:r>
              <w:t>p</w:t>
            </w:r>
            <w:r w:rsidRPr="00C01FEF">
              <w:t xml:space="preserve">ostal and </w:t>
            </w:r>
            <w:r>
              <w:t>w</w:t>
            </w:r>
            <w:r w:rsidRPr="00C01FEF">
              <w:t>arehousing</w:t>
            </w:r>
          </w:p>
        </w:tc>
        <w:tc>
          <w:tcPr>
            <w:tcW w:w="4744" w:type="dxa"/>
          </w:tcPr>
          <w:p w14:paraId="7C343BF8" w14:textId="77777777" w:rsidR="00A907E8" w:rsidRDefault="00A907E8" w:rsidP="001459EE">
            <w:r>
              <w:t>8</w:t>
            </w:r>
          </w:p>
        </w:tc>
      </w:tr>
      <w:tr w:rsidR="00A907E8" w14:paraId="0B7E0E38" w14:textId="77777777" w:rsidTr="001459EE">
        <w:tc>
          <w:tcPr>
            <w:tcW w:w="4744" w:type="dxa"/>
          </w:tcPr>
          <w:p w14:paraId="085B2792" w14:textId="77777777" w:rsidR="00A907E8" w:rsidRDefault="00A907E8" w:rsidP="001459EE">
            <w:r w:rsidRPr="00C01FEF">
              <w:t xml:space="preserve">Retail </w:t>
            </w:r>
            <w:r>
              <w:t>t</w:t>
            </w:r>
            <w:r w:rsidRPr="00C01FEF">
              <w:t>rade</w:t>
            </w:r>
          </w:p>
        </w:tc>
        <w:tc>
          <w:tcPr>
            <w:tcW w:w="4744" w:type="dxa"/>
          </w:tcPr>
          <w:p w14:paraId="2C09B553" w14:textId="77777777" w:rsidR="00A907E8" w:rsidRDefault="00A907E8" w:rsidP="001459EE">
            <w:r>
              <w:t>5</w:t>
            </w:r>
          </w:p>
        </w:tc>
      </w:tr>
      <w:tr w:rsidR="00A907E8" w14:paraId="0D655B49" w14:textId="77777777" w:rsidTr="001459EE">
        <w:tc>
          <w:tcPr>
            <w:tcW w:w="4744" w:type="dxa"/>
          </w:tcPr>
          <w:p w14:paraId="7DF41E61" w14:textId="77777777" w:rsidR="00A907E8" w:rsidRDefault="00A907E8" w:rsidP="001459EE">
            <w:r w:rsidRPr="00C01FEF">
              <w:t xml:space="preserve">Administrative and </w:t>
            </w:r>
            <w:r>
              <w:t>s</w:t>
            </w:r>
            <w:r w:rsidRPr="00C01FEF">
              <w:t xml:space="preserve">upport </w:t>
            </w:r>
            <w:r>
              <w:t>s</w:t>
            </w:r>
            <w:r w:rsidRPr="00C01FEF">
              <w:t>ervices</w:t>
            </w:r>
          </w:p>
        </w:tc>
        <w:tc>
          <w:tcPr>
            <w:tcW w:w="4744" w:type="dxa"/>
          </w:tcPr>
          <w:p w14:paraId="193E7D9B" w14:textId="77777777" w:rsidR="00A907E8" w:rsidRDefault="00A907E8" w:rsidP="001459EE">
            <w:r>
              <w:t>4</w:t>
            </w:r>
          </w:p>
        </w:tc>
      </w:tr>
      <w:tr w:rsidR="00A907E8" w14:paraId="7E82C1B0" w14:textId="77777777" w:rsidTr="001459EE">
        <w:tc>
          <w:tcPr>
            <w:tcW w:w="4744" w:type="dxa"/>
          </w:tcPr>
          <w:p w14:paraId="046BA6F0" w14:textId="77777777" w:rsidR="00A907E8" w:rsidRDefault="00A907E8" w:rsidP="001459EE">
            <w:r w:rsidRPr="00C01FEF">
              <w:t xml:space="preserve">Accommodation and </w:t>
            </w:r>
            <w:r>
              <w:t>f</w:t>
            </w:r>
            <w:r w:rsidRPr="00C01FEF">
              <w:t xml:space="preserve">ood </w:t>
            </w:r>
            <w:r>
              <w:t>s</w:t>
            </w:r>
            <w:r w:rsidRPr="00C01FEF">
              <w:t>ervices</w:t>
            </w:r>
          </w:p>
        </w:tc>
        <w:tc>
          <w:tcPr>
            <w:tcW w:w="4744" w:type="dxa"/>
          </w:tcPr>
          <w:p w14:paraId="30EFE722" w14:textId="77777777" w:rsidR="00A907E8" w:rsidRDefault="00A907E8" w:rsidP="001459EE">
            <w:r>
              <w:t>4</w:t>
            </w:r>
          </w:p>
        </w:tc>
      </w:tr>
      <w:tr w:rsidR="00A907E8" w14:paraId="6C88BB16" w14:textId="77777777" w:rsidTr="001459EE">
        <w:tc>
          <w:tcPr>
            <w:tcW w:w="4744" w:type="dxa"/>
          </w:tcPr>
          <w:p w14:paraId="794D81EF" w14:textId="77777777" w:rsidR="00A907E8" w:rsidRPr="00C01FEF" w:rsidRDefault="00A907E8" w:rsidP="001459EE">
            <w:proofErr w:type="gramStart"/>
            <w:r w:rsidRPr="00C01FEF">
              <w:t>Other</w:t>
            </w:r>
            <w:r>
              <w:t>s</w:t>
            </w:r>
            <w:proofErr w:type="gramEnd"/>
            <w:r>
              <w:t xml:space="preserve"> s</w:t>
            </w:r>
            <w:r w:rsidRPr="00C01FEF">
              <w:t>ervices</w:t>
            </w:r>
          </w:p>
        </w:tc>
        <w:tc>
          <w:tcPr>
            <w:tcW w:w="4744" w:type="dxa"/>
          </w:tcPr>
          <w:p w14:paraId="2D7E978D" w14:textId="77777777" w:rsidR="00A907E8" w:rsidRDefault="00A907E8" w:rsidP="001459EE">
            <w:r>
              <w:t>4</w:t>
            </w:r>
          </w:p>
        </w:tc>
      </w:tr>
      <w:tr w:rsidR="00A907E8" w14:paraId="67FAE0A8" w14:textId="77777777" w:rsidTr="001459EE">
        <w:tc>
          <w:tcPr>
            <w:tcW w:w="4744" w:type="dxa"/>
          </w:tcPr>
          <w:p w14:paraId="547E240A" w14:textId="77777777" w:rsidR="00A907E8" w:rsidRDefault="00A907E8" w:rsidP="001459EE">
            <w:r w:rsidRPr="006843FB">
              <w:t>All other industries</w:t>
            </w:r>
          </w:p>
        </w:tc>
        <w:tc>
          <w:tcPr>
            <w:tcW w:w="4744" w:type="dxa"/>
          </w:tcPr>
          <w:p w14:paraId="063986F4" w14:textId="77777777" w:rsidR="00A907E8" w:rsidRDefault="00A907E8" w:rsidP="001459EE">
            <w:r>
              <w:t>13</w:t>
            </w:r>
          </w:p>
        </w:tc>
      </w:tr>
    </w:tbl>
    <w:p w14:paraId="1E8978B5" w14:textId="77777777" w:rsidR="00A907E8" w:rsidRPr="00F34099" w:rsidRDefault="00A907E8" w:rsidP="00A907E8"/>
    <w:p w14:paraId="15FA0638" w14:textId="77777777" w:rsidR="00A907E8" w:rsidRDefault="00A907E8" w:rsidP="00A907E8">
      <w:pPr>
        <w:autoSpaceDE w:val="0"/>
        <w:autoSpaceDN w:val="0"/>
        <w:adjustRightInd w:val="0"/>
        <w:rPr>
          <w:rFonts w:ascii="Avenir-Book" w:hAnsi="Avenir-Book" w:cs="Avenir-Book"/>
          <w:color w:val="000000"/>
          <w:sz w:val="14"/>
          <w:szCs w:val="14"/>
          <w:lang w:val="en-AU"/>
        </w:rPr>
      </w:pPr>
    </w:p>
    <w:p w14:paraId="33CD3D94" w14:textId="77777777" w:rsidR="00A907E8" w:rsidRPr="00A907E8" w:rsidRDefault="00A907E8" w:rsidP="00A907E8">
      <w:pPr>
        <w:rPr>
          <w:rFonts w:cs="Arial"/>
          <w:sz w:val="22"/>
          <w:szCs w:val="22"/>
          <w:lang w:val="en-AU"/>
        </w:rPr>
      </w:pPr>
      <w:r w:rsidRPr="00A907E8">
        <w:rPr>
          <w:rFonts w:cs="Arial"/>
          <w:sz w:val="22"/>
          <w:szCs w:val="22"/>
          <w:lang w:val="en-AU"/>
        </w:rPr>
        <w:t>Council is committed to building Australia’s most small business-friendly city. While small businesses are known for providing local services, many are also leading innovation, developing new markets and becoming global leaders.</w:t>
      </w:r>
    </w:p>
    <w:p w14:paraId="63C0292F" w14:textId="77777777" w:rsidR="00A907E8" w:rsidRPr="00A907E8" w:rsidRDefault="00A907E8" w:rsidP="00A907E8">
      <w:pPr>
        <w:rPr>
          <w:rFonts w:cs="Arial"/>
          <w:sz w:val="22"/>
          <w:szCs w:val="22"/>
          <w:lang w:val="en-AU"/>
        </w:rPr>
      </w:pPr>
    </w:p>
    <w:p w14:paraId="5DF8E8C8" w14:textId="77777777" w:rsidR="00A907E8" w:rsidRPr="00A907E8" w:rsidRDefault="00A907E8" w:rsidP="00A907E8">
      <w:pPr>
        <w:rPr>
          <w:rFonts w:cs="Arial"/>
          <w:sz w:val="22"/>
          <w:szCs w:val="22"/>
          <w:lang w:val="en-AU"/>
        </w:rPr>
      </w:pPr>
      <w:r w:rsidRPr="00A907E8">
        <w:rPr>
          <w:rFonts w:cs="Arial"/>
          <w:sz w:val="22"/>
          <w:szCs w:val="22"/>
          <w:lang w:val="en-AU"/>
        </w:rPr>
        <w:t xml:space="preserve">For more information, visit the ‘Business in Brisbane’ web page at </w:t>
      </w:r>
      <w:hyperlink r:id="rId9" w:history="1">
        <w:r w:rsidRPr="00A907E8">
          <w:rPr>
            <w:rStyle w:val="Hyperlink"/>
            <w:rFonts w:cs="Arial"/>
            <w:b/>
            <w:sz w:val="22"/>
            <w:szCs w:val="22"/>
            <w:lang w:val="en-AU"/>
          </w:rPr>
          <w:t>brisbane.qld.gov.au</w:t>
        </w:r>
      </w:hyperlink>
      <w:r w:rsidRPr="00A907E8">
        <w:rPr>
          <w:rFonts w:cs="Arial"/>
          <w:sz w:val="22"/>
          <w:szCs w:val="22"/>
          <w:lang w:val="en-AU"/>
        </w:rPr>
        <w:t xml:space="preserve"> or call the Business Hotline </w:t>
      </w:r>
      <w:r w:rsidRPr="00A907E8">
        <w:rPr>
          <w:rFonts w:cs="Arial"/>
          <w:b/>
          <w:sz w:val="22"/>
          <w:szCs w:val="22"/>
          <w:lang w:val="en-AU"/>
        </w:rPr>
        <w:t>133 BNE (133 263).</w:t>
      </w:r>
    </w:p>
    <w:p w14:paraId="31073266" w14:textId="77777777" w:rsidR="00A907E8" w:rsidRPr="00276CA2" w:rsidRDefault="00A907E8" w:rsidP="00A907E8">
      <w:pPr>
        <w:rPr>
          <w:rFonts w:cs="Arial"/>
          <w:szCs w:val="22"/>
          <w:lang w:val="en-AU"/>
        </w:rPr>
      </w:pPr>
    </w:p>
    <w:p w14:paraId="7C25428D" w14:textId="77777777" w:rsidR="00A907E8" w:rsidRPr="00A907E8" w:rsidRDefault="00A907E8" w:rsidP="00A907E8">
      <w:pPr>
        <w:rPr>
          <w:rFonts w:cs="Arial"/>
          <w:i/>
          <w:iCs/>
          <w:sz w:val="20"/>
          <w:szCs w:val="20"/>
          <w:lang w:val="en-AU"/>
        </w:rPr>
      </w:pPr>
      <w:r w:rsidRPr="00A907E8">
        <w:rPr>
          <w:rFonts w:cs="Arial"/>
          <w:i/>
          <w:iCs/>
          <w:sz w:val="20"/>
          <w:szCs w:val="20"/>
          <w:lang w:val="en-AU"/>
        </w:rPr>
        <w:t>Source: ABS, Counts of Australian Businesses, including Entries and Exits, June 2014 to June</w:t>
      </w:r>
    </w:p>
    <w:p w14:paraId="3C7710B6" w14:textId="77777777" w:rsidR="00A907E8" w:rsidRPr="00A907E8" w:rsidRDefault="00A907E8" w:rsidP="00A907E8">
      <w:pPr>
        <w:rPr>
          <w:rFonts w:cs="Arial"/>
          <w:sz w:val="20"/>
          <w:szCs w:val="20"/>
        </w:rPr>
      </w:pPr>
      <w:r w:rsidRPr="00A907E8">
        <w:rPr>
          <w:rFonts w:cs="Arial"/>
          <w:i/>
          <w:iCs/>
          <w:sz w:val="20"/>
          <w:szCs w:val="20"/>
          <w:lang w:val="en-AU"/>
        </w:rPr>
        <w:t>2018, Catalogue No. 8165.0</w:t>
      </w:r>
    </w:p>
    <w:p w14:paraId="20EE316C" w14:textId="0E0D26C5" w:rsidR="00F65041" w:rsidRDefault="00A907E8" w:rsidP="00B46412">
      <w:pPr>
        <w:keepNext/>
        <w:keepLines/>
        <w:spacing w:before="240"/>
        <w:outlineLvl w:val="0"/>
      </w:pPr>
    </w:p>
    <w:p w14:paraId="2994FFDA" w14:textId="77777777" w:rsidR="0026768A" w:rsidRDefault="0026768A" w:rsidP="0026768A">
      <w:pPr>
        <w:pStyle w:val="Heading5"/>
      </w:pPr>
    </w:p>
    <w:sectPr w:rsidR="0026768A" w:rsidSect="00DA35DA">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D79E" w14:textId="77777777" w:rsidR="008751BF" w:rsidRDefault="008751BF" w:rsidP="004C0FC6">
      <w:r>
        <w:separator/>
      </w:r>
    </w:p>
  </w:endnote>
  <w:endnote w:type="continuationSeparator" w:id="0">
    <w:p w14:paraId="3FB4F522" w14:textId="77777777" w:rsidR="008751BF" w:rsidRDefault="008751BF" w:rsidP="004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Book">
    <w:altName w:val="Calibri"/>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4301" w14:textId="77777777" w:rsidR="008751BF" w:rsidRDefault="008751BF" w:rsidP="004C0FC6">
      <w:r>
        <w:separator/>
      </w:r>
    </w:p>
  </w:footnote>
  <w:footnote w:type="continuationSeparator" w:id="0">
    <w:p w14:paraId="6F0F8985" w14:textId="77777777" w:rsidR="008751BF" w:rsidRDefault="008751BF" w:rsidP="004C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9D22" w14:textId="77777777" w:rsidR="004C0FC6" w:rsidRPr="004C0FC6" w:rsidRDefault="004C0FC6" w:rsidP="004C0FC6">
    <w:pPr>
      <w:pStyle w:val="Header"/>
    </w:pPr>
    <w:r>
      <w:rPr>
        <w:noProof/>
        <w:lang w:val="en-AU" w:eastAsia="en-AU"/>
      </w:rPr>
      <w:drawing>
        <wp:anchor distT="0" distB="0" distL="114300" distR="114300" simplePos="0" relativeHeight="251658240" behindDoc="1" locked="0" layoutInCell="1" allowOverlap="1" wp14:anchorId="11D953E5" wp14:editId="27E2F716">
          <wp:simplePos x="0" y="0"/>
          <wp:positionH relativeFrom="margin">
            <wp:posOffset>-914400</wp:posOffset>
          </wp:positionH>
          <wp:positionV relativeFrom="paragraph">
            <wp:posOffset>-449580</wp:posOffset>
          </wp:positionV>
          <wp:extent cx="7559865" cy="1069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Comms A4 Portrait 1.jpg"/>
                  <pic:cNvPicPr/>
                </pic:nvPicPr>
                <pic:blipFill>
                  <a:blip r:embed="rId1">
                    <a:extLst>
                      <a:ext uri="{28A0092B-C50C-407E-A947-70E740481C1C}">
                        <a14:useLocalDpi xmlns:a14="http://schemas.microsoft.com/office/drawing/2010/main" val="0"/>
                      </a:ext>
                    </a:extLst>
                  </a:blip>
                  <a:stretch>
                    <a:fillRect/>
                  </a:stretch>
                </pic:blipFill>
                <pic:spPr>
                  <a:xfrm>
                    <a:off x="0" y="0"/>
                    <a:ext cx="7559865" cy="1069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15FF9"/>
    <w:multiLevelType w:val="hybridMultilevel"/>
    <w:tmpl w:val="4E963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C6"/>
    <w:rsid w:val="0004658C"/>
    <w:rsid w:val="0026768A"/>
    <w:rsid w:val="003C7ED4"/>
    <w:rsid w:val="00463ADC"/>
    <w:rsid w:val="004C0FC6"/>
    <w:rsid w:val="005D07ED"/>
    <w:rsid w:val="0063579B"/>
    <w:rsid w:val="006D4FAB"/>
    <w:rsid w:val="00740BCF"/>
    <w:rsid w:val="007A575C"/>
    <w:rsid w:val="007E78E7"/>
    <w:rsid w:val="008751BF"/>
    <w:rsid w:val="00A257A2"/>
    <w:rsid w:val="00A907E8"/>
    <w:rsid w:val="00B46412"/>
    <w:rsid w:val="00DA35DA"/>
    <w:rsid w:val="00F30E53"/>
    <w:rsid w:val="00F3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018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8E7"/>
    <w:rPr>
      <w:rFonts w:ascii="Arial" w:hAnsi="Arial"/>
    </w:rPr>
  </w:style>
  <w:style w:type="paragraph" w:styleId="Heading1">
    <w:name w:val="heading 1"/>
    <w:basedOn w:val="Normal"/>
    <w:next w:val="Normal"/>
    <w:link w:val="Heading1Char"/>
    <w:uiPriority w:val="9"/>
    <w:qFormat/>
    <w:rsid w:val="007E78E7"/>
    <w:pPr>
      <w:keepNext/>
      <w:keepLines/>
      <w:spacing w:before="240"/>
      <w:outlineLvl w:val="0"/>
    </w:pPr>
    <w:rPr>
      <w:rFonts w:eastAsiaTheme="majorEastAsia" w:cstheme="majorBidi"/>
      <w:color w:val="0067B1"/>
      <w:sz w:val="56"/>
      <w:szCs w:val="32"/>
    </w:rPr>
  </w:style>
  <w:style w:type="paragraph" w:styleId="Heading2">
    <w:name w:val="heading 2"/>
    <w:basedOn w:val="Normal"/>
    <w:next w:val="Normal"/>
    <w:link w:val="Heading2Char"/>
    <w:uiPriority w:val="9"/>
    <w:unhideWhenUsed/>
    <w:qFormat/>
    <w:rsid w:val="0004658C"/>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04658C"/>
    <w:pPr>
      <w:keepNext/>
      <w:keepLines/>
      <w:spacing w:before="40"/>
      <w:outlineLvl w:val="2"/>
    </w:pPr>
    <w:rPr>
      <w:rFonts w:eastAsiaTheme="majorEastAsia" w:cstheme="majorBidi"/>
      <w:color w:val="1F3763" w:themeColor="accent1" w:themeShade="7F"/>
      <w:sz w:val="28"/>
    </w:rPr>
  </w:style>
  <w:style w:type="paragraph" w:styleId="Heading4">
    <w:name w:val="heading 4"/>
    <w:basedOn w:val="Normal"/>
    <w:next w:val="Normal"/>
    <w:link w:val="Heading4Char"/>
    <w:uiPriority w:val="9"/>
    <w:unhideWhenUsed/>
    <w:qFormat/>
    <w:rsid w:val="0004658C"/>
    <w:pPr>
      <w:keepNext/>
      <w:keepLines/>
      <w:spacing w:before="40"/>
      <w:outlineLvl w:val="3"/>
    </w:pPr>
    <w:rPr>
      <w:rFonts w:eastAsiaTheme="majorEastAsia" w:cstheme="majorBidi"/>
      <w:iCs/>
      <w:color w:val="1F3864" w:themeColor="accent1" w:themeShade="80"/>
    </w:rPr>
  </w:style>
  <w:style w:type="paragraph" w:styleId="Heading5">
    <w:name w:val="heading 5"/>
    <w:basedOn w:val="Normal"/>
    <w:next w:val="Normal"/>
    <w:link w:val="Heading5Char"/>
    <w:uiPriority w:val="9"/>
    <w:unhideWhenUsed/>
    <w:qFormat/>
    <w:rsid w:val="0026768A"/>
    <w:pPr>
      <w:keepNext/>
      <w:keepLines/>
      <w:spacing w:before="4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C6"/>
    <w:pPr>
      <w:tabs>
        <w:tab w:val="center" w:pos="4513"/>
        <w:tab w:val="right" w:pos="9026"/>
      </w:tabs>
    </w:pPr>
  </w:style>
  <w:style w:type="character" w:customStyle="1" w:styleId="HeaderChar">
    <w:name w:val="Header Char"/>
    <w:basedOn w:val="DefaultParagraphFont"/>
    <w:link w:val="Header"/>
    <w:uiPriority w:val="99"/>
    <w:rsid w:val="004C0FC6"/>
  </w:style>
  <w:style w:type="paragraph" w:styleId="Footer">
    <w:name w:val="footer"/>
    <w:basedOn w:val="Normal"/>
    <w:link w:val="FooterChar"/>
    <w:uiPriority w:val="99"/>
    <w:unhideWhenUsed/>
    <w:rsid w:val="004C0FC6"/>
    <w:pPr>
      <w:tabs>
        <w:tab w:val="center" w:pos="4513"/>
        <w:tab w:val="right" w:pos="9026"/>
      </w:tabs>
    </w:pPr>
  </w:style>
  <w:style w:type="character" w:customStyle="1" w:styleId="FooterChar">
    <w:name w:val="Footer Char"/>
    <w:basedOn w:val="DefaultParagraphFont"/>
    <w:link w:val="Footer"/>
    <w:uiPriority w:val="99"/>
    <w:rsid w:val="004C0FC6"/>
  </w:style>
  <w:style w:type="character" w:customStyle="1" w:styleId="Heading1Char">
    <w:name w:val="Heading 1 Char"/>
    <w:basedOn w:val="DefaultParagraphFont"/>
    <w:link w:val="Heading1"/>
    <w:uiPriority w:val="9"/>
    <w:rsid w:val="007E78E7"/>
    <w:rPr>
      <w:rFonts w:ascii="Arial" w:eastAsiaTheme="majorEastAsia" w:hAnsi="Arial" w:cstheme="majorBidi"/>
      <w:color w:val="0067B1"/>
      <w:sz w:val="56"/>
      <w:szCs w:val="32"/>
    </w:rPr>
  </w:style>
  <w:style w:type="character" w:customStyle="1" w:styleId="Heading2Char">
    <w:name w:val="Heading 2 Char"/>
    <w:basedOn w:val="DefaultParagraphFont"/>
    <w:link w:val="Heading2"/>
    <w:uiPriority w:val="9"/>
    <w:rsid w:val="0004658C"/>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04658C"/>
    <w:rPr>
      <w:rFonts w:ascii="Arial" w:eastAsiaTheme="majorEastAsia" w:hAnsi="Arial" w:cstheme="majorBidi"/>
      <w:color w:val="1F3763" w:themeColor="accent1" w:themeShade="7F"/>
      <w:sz w:val="28"/>
    </w:rPr>
  </w:style>
  <w:style w:type="character" w:customStyle="1" w:styleId="Heading4Char">
    <w:name w:val="Heading 4 Char"/>
    <w:basedOn w:val="DefaultParagraphFont"/>
    <w:link w:val="Heading4"/>
    <w:uiPriority w:val="9"/>
    <w:rsid w:val="0004658C"/>
    <w:rPr>
      <w:rFonts w:ascii="Arial" w:eastAsiaTheme="majorEastAsia" w:hAnsi="Arial" w:cstheme="majorBidi"/>
      <w:iCs/>
      <w:color w:val="1F3864" w:themeColor="accent1" w:themeShade="80"/>
    </w:rPr>
  </w:style>
  <w:style w:type="character" w:customStyle="1" w:styleId="Heading5Char">
    <w:name w:val="Heading 5 Char"/>
    <w:basedOn w:val="DefaultParagraphFont"/>
    <w:link w:val="Heading5"/>
    <w:uiPriority w:val="9"/>
    <w:rsid w:val="0026768A"/>
    <w:rPr>
      <w:rFonts w:asciiTheme="majorHAnsi" w:eastAsiaTheme="majorEastAsia" w:hAnsiTheme="majorHAnsi" w:cstheme="majorBidi"/>
      <w:color w:val="1F3864" w:themeColor="accent1" w:themeShade="80"/>
    </w:rPr>
  </w:style>
  <w:style w:type="character" w:styleId="Hyperlink">
    <w:name w:val="Hyperlink"/>
    <w:rsid w:val="00A907E8"/>
    <w:rPr>
      <w:color w:val="0000FF"/>
      <w:u w:val="single"/>
    </w:rPr>
  </w:style>
  <w:style w:type="table" w:styleId="TableGrid">
    <w:name w:val="Table Grid"/>
    <w:basedOn w:val="TableNormal"/>
    <w:rsid w:val="00A907E8"/>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7E8"/>
    <w:pPr>
      <w:ind w:left="720"/>
    </w:pPr>
    <w:rPr>
      <w:rFonts w:eastAsia="Times New Roman" w:cs="Times New Roman"/>
      <w:sz w:val="22"/>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sbane.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9B525-D009-4BEB-AB00-6E700ADE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Yamashita</cp:lastModifiedBy>
  <cp:revision>2</cp:revision>
  <dcterms:created xsi:type="dcterms:W3CDTF">2019-12-04T23:16:00Z</dcterms:created>
  <dcterms:modified xsi:type="dcterms:W3CDTF">2019-12-04T23:16:00Z</dcterms:modified>
</cp:coreProperties>
</file>