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87AB4" w14:textId="77777777" w:rsidR="009F0BC3" w:rsidRDefault="00E50E7C" w:rsidP="00B0656B">
      <w:pPr>
        <w:pStyle w:val="Heading1"/>
      </w:pPr>
      <w:r>
        <w:rPr>
          <w:noProof/>
          <w:lang w:val="en-AU"/>
        </w:rPr>
        <w:drawing>
          <wp:anchor distT="0" distB="0" distL="114300" distR="114300" simplePos="0" relativeHeight="251657728" behindDoc="0" locked="0" layoutInCell="1" allowOverlap="1" wp14:anchorId="39745B36" wp14:editId="3FDBE8EE">
            <wp:simplePos x="0" y="0"/>
            <wp:positionH relativeFrom="column">
              <wp:posOffset>-739140</wp:posOffset>
            </wp:positionH>
            <wp:positionV relativeFrom="paragraph">
              <wp:posOffset>-1101090</wp:posOffset>
            </wp:positionV>
            <wp:extent cx="276225" cy="7391400"/>
            <wp:effectExtent l="0" t="0" r="9525" b="0"/>
            <wp:wrapSquare wrapText="bothSides"/>
            <wp:docPr id="190" name="Picture 19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quot; &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7391400"/>
                    </a:xfrm>
                    <a:prstGeom prst="rect">
                      <a:avLst/>
                    </a:prstGeom>
                    <a:noFill/>
                  </pic:spPr>
                </pic:pic>
              </a:graphicData>
            </a:graphic>
            <wp14:sizeRelH relativeFrom="page">
              <wp14:pctWidth>0</wp14:pctWidth>
            </wp14:sizeRelH>
            <wp14:sizeRelV relativeFrom="page">
              <wp14:pctHeight>0</wp14:pctHeight>
            </wp14:sizeRelV>
          </wp:anchor>
        </w:drawing>
      </w:r>
      <w:r w:rsidR="00B0656B">
        <w:t>Brisbane City Council</w:t>
      </w:r>
    </w:p>
    <w:p w14:paraId="74E833FD" w14:textId="77777777" w:rsidR="00B0656B" w:rsidRDefault="00B0656B" w:rsidP="00B0656B">
      <w:pPr>
        <w:pStyle w:val="Heading2"/>
      </w:pPr>
      <w:r>
        <w:t>Register of Local Laws</w:t>
      </w:r>
    </w:p>
    <w:p w14:paraId="0B1F60A2" w14:textId="77777777" w:rsidR="00B0656B" w:rsidRDefault="00B0656B" w:rsidP="006F5192"/>
    <w:tbl>
      <w:tblPr>
        <w:tblStyle w:val="TableGrid"/>
        <w:tblW w:w="0" w:type="auto"/>
        <w:tblLook w:val="04A0" w:firstRow="1" w:lastRow="0" w:firstColumn="1" w:lastColumn="0" w:noHBand="0" w:noVBand="1"/>
      </w:tblPr>
      <w:tblGrid>
        <w:gridCol w:w="4077"/>
        <w:gridCol w:w="10994"/>
      </w:tblGrid>
      <w:tr w:rsidR="00B0656B" w:rsidRPr="00FE29CB" w14:paraId="4DC19673" w14:textId="77777777" w:rsidTr="00FE29CB">
        <w:trPr>
          <w:cantSplit/>
          <w:tblHeader/>
        </w:trPr>
        <w:tc>
          <w:tcPr>
            <w:tcW w:w="4077" w:type="dxa"/>
            <w:shd w:val="clear" w:color="auto" w:fill="000000" w:themeFill="text1"/>
          </w:tcPr>
          <w:p w14:paraId="4DCAD3BC" w14:textId="77777777" w:rsidR="00B0656B" w:rsidRPr="00FE29CB" w:rsidRDefault="00B0656B" w:rsidP="005F2AC0">
            <w:pPr>
              <w:spacing w:before="60" w:after="60"/>
              <w:rPr>
                <w:b/>
                <w:sz w:val="16"/>
                <w:szCs w:val="16"/>
              </w:rPr>
            </w:pPr>
            <w:r w:rsidRPr="00FE29CB">
              <w:rPr>
                <w:b/>
                <w:sz w:val="16"/>
                <w:szCs w:val="16"/>
              </w:rPr>
              <w:t>Local Law</w:t>
            </w:r>
          </w:p>
        </w:tc>
        <w:tc>
          <w:tcPr>
            <w:tcW w:w="10994" w:type="dxa"/>
            <w:shd w:val="clear" w:color="auto" w:fill="000000" w:themeFill="text1"/>
          </w:tcPr>
          <w:p w14:paraId="7929A591" w14:textId="77777777" w:rsidR="000D7559" w:rsidRPr="00FE29CB" w:rsidRDefault="00B0656B" w:rsidP="005F2AC0">
            <w:pPr>
              <w:spacing w:before="60" w:after="60"/>
              <w:rPr>
                <w:b/>
                <w:sz w:val="16"/>
                <w:szCs w:val="16"/>
              </w:rPr>
            </w:pPr>
            <w:r w:rsidRPr="00FE29CB">
              <w:rPr>
                <w:b/>
                <w:sz w:val="16"/>
                <w:szCs w:val="16"/>
              </w:rPr>
              <w:t>Purpose and general effect</w:t>
            </w:r>
          </w:p>
        </w:tc>
      </w:tr>
      <w:tr w:rsidR="00B0656B" w:rsidRPr="00FE29CB" w14:paraId="2C31686F" w14:textId="77777777" w:rsidTr="00FE29CB">
        <w:trPr>
          <w:cantSplit/>
        </w:trPr>
        <w:tc>
          <w:tcPr>
            <w:tcW w:w="4077" w:type="dxa"/>
            <w:shd w:val="clear" w:color="auto" w:fill="DBE5F1" w:themeFill="accent1" w:themeFillTint="33"/>
          </w:tcPr>
          <w:p w14:paraId="16B58D7A" w14:textId="2D2B1B46" w:rsidR="00B0656B" w:rsidRPr="00FE29CB" w:rsidRDefault="000D7559" w:rsidP="005F2AC0">
            <w:pPr>
              <w:spacing w:before="60" w:after="60"/>
              <w:rPr>
                <w:b/>
                <w:i/>
                <w:sz w:val="16"/>
                <w:szCs w:val="16"/>
              </w:rPr>
            </w:pPr>
            <w:r w:rsidRPr="00FE29CB">
              <w:rPr>
                <w:b/>
                <w:i/>
                <w:sz w:val="16"/>
                <w:szCs w:val="16"/>
              </w:rPr>
              <w:t>Advertis</w:t>
            </w:r>
            <w:r w:rsidR="0085681D">
              <w:rPr>
                <w:b/>
                <w:i/>
                <w:sz w:val="16"/>
                <w:szCs w:val="16"/>
              </w:rPr>
              <w:t>ing Devices Local Law 2021</w:t>
            </w:r>
          </w:p>
        </w:tc>
        <w:tc>
          <w:tcPr>
            <w:tcW w:w="10994" w:type="dxa"/>
          </w:tcPr>
          <w:p w14:paraId="5F44B9AD" w14:textId="77777777" w:rsidR="00C32D9B" w:rsidRDefault="00916240" w:rsidP="005F2AC0">
            <w:pPr>
              <w:spacing w:before="60" w:after="60"/>
              <w:rPr>
                <w:sz w:val="16"/>
                <w:szCs w:val="16"/>
              </w:rPr>
            </w:pPr>
            <w:r>
              <w:rPr>
                <w:sz w:val="16"/>
                <w:szCs w:val="16"/>
              </w:rPr>
              <w:t>The purpose and general effect of the local law is to implement a new regulatory framework to ensure advertising devices in the Brisbane Local Government area located, designed and operated to complement, or at the very least, avoid where practicable, or minimize adverse impacts:</w:t>
            </w:r>
          </w:p>
          <w:p w14:paraId="3DFF8BD0" w14:textId="07D993ED" w:rsidR="00916240" w:rsidRDefault="00916240" w:rsidP="00916240">
            <w:pPr>
              <w:pStyle w:val="ListParagraph"/>
              <w:numPr>
                <w:ilvl w:val="0"/>
                <w:numId w:val="8"/>
              </w:numPr>
              <w:spacing w:before="60" w:after="60"/>
              <w:rPr>
                <w:sz w:val="16"/>
                <w:szCs w:val="16"/>
              </w:rPr>
            </w:pPr>
            <w:r>
              <w:rPr>
                <w:sz w:val="16"/>
                <w:szCs w:val="16"/>
              </w:rPr>
              <w:t xml:space="preserve">to the established or planned characteristics of the site, streetscapes and </w:t>
            </w:r>
            <w:proofErr w:type="spellStart"/>
            <w:r>
              <w:rPr>
                <w:sz w:val="16"/>
                <w:szCs w:val="16"/>
              </w:rPr>
              <w:t>neighbourhood</w:t>
            </w:r>
            <w:proofErr w:type="spellEnd"/>
          </w:p>
          <w:p w14:paraId="12F060E3" w14:textId="1BC7A39A" w:rsidR="00916240" w:rsidRDefault="00916240" w:rsidP="00916240">
            <w:pPr>
              <w:pStyle w:val="ListParagraph"/>
              <w:numPr>
                <w:ilvl w:val="0"/>
                <w:numId w:val="8"/>
              </w:numPr>
              <w:spacing w:before="60" w:after="60"/>
              <w:rPr>
                <w:sz w:val="16"/>
                <w:szCs w:val="16"/>
              </w:rPr>
            </w:pPr>
            <w:r>
              <w:rPr>
                <w:sz w:val="16"/>
                <w:szCs w:val="16"/>
              </w:rPr>
              <w:t>on the natural environment</w:t>
            </w:r>
          </w:p>
          <w:p w14:paraId="7094E115" w14:textId="0F6D915F" w:rsidR="00916240" w:rsidRDefault="00916240" w:rsidP="00916240">
            <w:pPr>
              <w:pStyle w:val="ListParagraph"/>
              <w:numPr>
                <w:ilvl w:val="0"/>
                <w:numId w:val="8"/>
              </w:numPr>
              <w:spacing w:before="60" w:after="60"/>
              <w:rPr>
                <w:sz w:val="16"/>
                <w:szCs w:val="16"/>
              </w:rPr>
            </w:pPr>
            <w:r>
              <w:rPr>
                <w:sz w:val="16"/>
                <w:szCs w:val="16"/>
              </w:rPr>
              <w:t xml:space="preserve">to the amenity of the site, surrounding </w:t>
            </w:r>
            <w:proofErr w:type="gramStart"/>
            <w:r>
              <w:rPr>
                <w:sz w:val="16"/>
                <w:szCs w:val="16"/>
              </w:rPr>
              <w:t>areas</w:t>
            </w:r>
            <w:proofErr w:type="gramEnd"/>
            <w:r>
              <w:rPr>
                <w:sz w:val="16"/>
                <w:szCs w:val="16"/>
              </w:rPr>
              <w:t xml:space="preserve"> and the region</w:t>
            </w:r>
          </w:p>
          <w:p w14:paraId="0ED3DE24" w14:textId="2643E828" w:rsidR="00916240" w:rsidRDefault="00916240" w:rsidP="00916240">
            <w:pPr>
              <w:pStyle w:val="ListParagraph"/>
              <w:numPr>
                <w:ilvl w:val="0"/>
                <w:numId w:val="8"/>
              </w:numPr>
              <w:spacing w:before="60" w:after="60"/>
              <w:rPr>
                <w:sz w:val="16"/>
                <w:szCs w:val="16"/>
              </w:rPr>
            </w:pPr>
            <w:r>
              <w:rPr>
                <w:sz w:val="16"/>
                <w:szCs w:val="16"/>
              </w:rPr>
              <w:t>on the cultural heritage significance of a heritage place, including any Aboriginal cultural values</w:t>
            </w:r>
          </w:p>
          <w:p w14:paraId="27D4DD10" w14:textId="01F5F5B0" w:rsidR="00916240" w:rsidRPr="00916240" w:rsidRDefault="00916240" w:rsidP="00916240">
            <w:pPr>
              <w:pStyle w:val="ListParagraph"/>
              <w:numPr>
                <w:ilvl w:val="0"/>
                <w:numId w:val="8"/>
              </w:numPr>
              <w:spacing w:before="60" w:after="60"/>
              <w:rPr>
                <w:sz w:val="16"/>
                <w:szCs w:val="16"/>
              </w:rPr>
            </w:pPr>
            <w:r>
              <w:rPr>
                <w:sz w:val="16"/>
                <w:szCs w:val="16"/>
              </w:rPr>
              <w:t xml:space="preserve">on essential standards of public safety including the safety and efficient operation of the transport network, including the movement of pedestrians, cyclists, </w:t>
            </w:r>
            <w:proofErr w:type="gramStart"/>
            <w:r>
              <w:rPr>
                <w:sz w:val="16"/>
                <w:szCs w:val="16"/>
              </w:rPr>
              <w:t>vehicles</w:t>
            </w:r>
            <w:proofErr w:type="gramEnd"/>
            <w:r>
              <w:rPr>
                <w:sz w:val="16"/>
                <w:szCs w:val="16"/>
              </w:rPr>
              <w:t xml:space="preserve"> and aircraft.</w:t>
            </w:r>
          </w:p>
        </w:tc>
      </w:tr>
      <w:tr w:rsidR="00B0656B" w:rsidRPr="00FE29CB" w14:paraId="14E59E58" w14:textId="77777777" w:rsidTr="00FE29CB">
        <w:trPr>
          <w:cantSplit/>
        </w:trPr>
        <w:tc>
          <w:tcPr>
            <w:tcW w:w="4077" w:type="dxa"/>
            <w:shd w:val="clear" w:color="auto" w:fill="DBE5F1" w:themeFill="accent1" w:themeFillTint="33"/>
          </w:tcPr>
          <w:p w14:paraId="10F92F3E" w14:textId="77777777" w:rsidR="00B0656B" w:rsidRPr="00FE29CB" w:rsidRDefault="000D7559" w:rsidP="005F2AC0">
            <w:pPr>
              <w:spacing w:before="60" w:after="60"/>
              <w:rPr>
                <w:b/>
                <w:i/>
                <w:sz w:val="16"/>
                <w:szCs w:val="16"/>
              </w:rPr>
            </w:pPr>
            <w:r w:rsidRPr="00FE29CB">
              <w:rPr>
                <w:b/>
                <w:i/>
                <w:sz w:val="16"/>
                <w:szCs w:val="16"/>
              </w:rPr>
              <w:t>Amplified Music Venues Local Law 2006</w:t>
            </w:r>
          </w:p>
        </w:tc>
        <w:tc>
          <w:tcPr>
            <w:tcW w:w="10994" w:type="dxa"/>
          </w:tcPr>
          <w:p w14:paraId="429623BB" w14:textId="77777777" w:rsidR="00C32D9B" w:rsidRPr="00FE29CB" w:rsidRDefault="000D7559" w:rsidP="005F2AC0">
            <w:pPr>
              <w:spacing w:before="60" w:after="60"/>
              <w:rPr>
                <w:sz w:val="16"/>
                <w:szCs w:val="16"/>
              </w:rPr>
            </w:pPr>
            <w:r w:rsidRPr="00FE29CB">
              <w:rPr>
                <w:sz w:val="16"/>
                <w:szCs w:val="16"/>
              </w:rPr>
              <w:t>To regulate noise from amplified music played at amplified music venues in various precincts of Brisbane, and to outline the detail of the permit regime Council applies.</w:t>
            </w:r>
          </w:p>
        </w:tc>
      </w:tr>
      <w:tr w:rsidR="00AA1F3F" w:rsidRPr="00FE29CB" w14:paraId="76C181F2" w14:textId="77777777" w:rsidTr="00FE29CB">
        <w:trPr>
          <w:cantSplit/>
        </w:trPr>
        <w:tc>
          <w:tcPr>
            <w:tcW w:w="4077" w:type="dxa"/>
            <w:shd w:val="clear" w:color="auto" w:fill="DBE5F1" w:themeFill="accent1" w:themeFillTint="33"/>
          </w:tcPr>
          <w:p w14:paraId="47F84E8A" w14:textId="77777777" w:rsidR="00AA1F3F" w:rsidRPr="00FE29CB" w:rsidRDefault="00AA1F3F" w:rsidP="005F2AC0">
            <w:pPr>
              <w:spacing w:before="60" w:after="60"/>
              <w:rPr>
                <w:b/>
                <w:i/>
                <w:sz w:val="16"/>
                <w:szCs w:val="16"/>
              </w:rPr>
            </w:pPr>
            <w:r w:rsidRPr="00FE29CB">
              <w:rPr>
                <w:b/>
                <w:i/>
                <w:sz w:val="16"/>
                <w:szCs w:val="16"/>
              </w:rPr>
              <w:t>Animals Local Law 2017</w:t>
            </w:r>
          </w:p>
        </w:tc>
        <w:tc>
          <w:tcPr>
            <w:tcW w:w="10994" w:type="dxa"/>
          </w:tcPr>
          <w:p w14:paraId="1BE9E34B" w14:textId="77777777" w:rsidR="00AA1F3F" w:rsidRPr="00FE29CB" w:rsidRDefault="00AA1F3F" w:rsidP="00CB5ABC">
            <w:pPr>
              <w:spacing w:before="60" w:after="60"/>
              <w:rPr>
                <w:sz w:val="16"/>
                <w:szCs w:val="16"/>
              </w:rPr>
            </w:pPr>
            <w:r w:rsidRPr="00FE29CB">
              <w:rPr>
                <w:sz w:val="16"/>
                <w:szCs w:val="16"/>
              </w:rPr>
              <w:t>To regulate the keeping of animals.</w:t>
            </w:r>
          </w:p>
        </w:tc>
      </w:tr>
      <w:tr w:rsidR="00B0656B" w:rsidRPr="00FE29CB" w14:paraId="6CCD7141" w14:textId="77777777" w:rsidTr="00FE29CB">
        <w:trPr>
          <w:cantSplit/>
        </w:trPr>
        <w:tc>
          <w:tcPr>
            <w:tcW w:w="4077" w:type="dxa"/>
            <w:shd w:val="clear" w:color="auto" w:fill="DBE5F1" w:themeFill="accent1" w:themeFillTint="33"/>
          </w:tcPr>
          <w:p w14:paraId="78A3089D" w14:textId="77777777" w:rsidR="00B0656B" w:rsidRPr="00FE29CB" w:rsidRDefault="000D7559" w:rsidP="005F2AC0">
            <w:pPr>
              <w:spacing w:before="60" w:after="60"/>
              <w:rPr>
                <w:b/>
                <w:i/>
                <w:sz w:val="16"/>
                <w:szCs w:val="16"/>
              </w:rPr>
            </w:pPr>
            <w:r w:rsidRPr="00FE29CB">
              <w:rPr>
                <w:b/>
                <w:i/>
                <w:sz w:val="16"/>
                <w:szCs w:val="16"/>
              </w:rPr>
              <w:t>Ballymore Traffic Area Local Law 2001</w:t>
            </w:r>
          </w:p>
        </w:tc>
        <w:tc>
          <w:tcPr>
            <w:tcW w:w="10994" w:type="dxa"/>
          </w:tcPr>
          <w:p w14:paraId="218E57DD" w14:textId="77777777" w:rsidR="00C32D9B" w:rsidRPr="00FE29CB" w:rsidRDefault="002F15EE" w:rsidP="005F2AC0">
            <w:pPr>
              <w:spacing w:before="60" w:after="60"/>
              <w:rPr>
                <w:sz w:val="16"/>
                <w:szCs w:val="16"/>
              </w:rPr>
            </w:pPr>
            <w:r w:rsidRPr="00FE29CB">
              <w:rPr>
                <w:sz w:val="16"/>
                <w:szCs w:val="16"/>
              </w:rPr>
              <w:t>To create and regulate parking within the Ballymore Traffic Area.</w:t>
            </w:r>
          </w:p>
        </w:tc>
      </w:tr>
      <w:tr w:rsidR="00B0656B" w:rsidRPr="00FE29CB" w14:paraId="01CA3F52" w14:textId="77777777" w:rsidTr="00FE29CB">
        <w:trPr>
          <w:cantSplit/>
        </w:trPr>
        <w:tc>
          <w:tcPr>
            <w:tcW w:w="4077" w:type="dxa"/>
            <w:shd w:val="clear" w:color="auto" w:fill="DBE5F1" w:themeFill="accent1" w:themeFillTint="33"/>
          </w:tcPr>
          <w:p w14:paraId="207EBEC1" w14:textId="77777777" w:rsidR="00B0656B" w:rsidRPr="00FE29CB" w:rsidRDefault="000D7559" w:rsidP="005F2AC0">
            <w:pPr>
              <w:spacing w:before="60" w:after="60"/>
              <w:rPr>
                <w:b/>
                <w:i/>
                <w:sz w:val="16"/>
                <w:szCs w:val="16"/>
              </w:rPr>
            </w:pPr>
            <w:r w:rsidRPr="00FE29CB">
              <w:rPr>
                <w:b/>
                <w:i/>
                <w:sz w:val="16"/>
                <w:szCs w:val="16"/>
              </w:rPr>
              <w:t>Caravan Parks and Relocatable Home Parks Local Law 2000</w:t>
            </w:r>
          </w:p>
        </w:tc>
        <w:tc>
          <w:tcPr>
            <w:tcW w:w="10994" w:type="dxa"/>
          </w:tcPr>
          <w:p w14:paraId="3968BA92" w14:textId="77777777" w:rsidR="00C32D9B" w:rsidRPr="00FE29CB" w:rsidRDefault="002F15EE" w:rsidP="005F2AC0">
            <w:pPr>
              <w:spacing w:before="60" w:after="60"/>
              <w:rPr>
                <w:sz w:val="16"/>
                <w:szCs w:val="16"/>
              </w:rPr>
            </w:pPr>
            <w:r w:rsidRPr="00FE29CB">
              <w:rPr>
                <w:sz w:val="16"/>
                <w:szCs w:val="16"/>
              </w:rPr>
              <w:t xml:space="preserve">To ensure that Residential Parks are properly operated and maintained </w:t>
            </w:r>
            <w:proofErr w:type="gramStart"/>
            <w:r w:rsidRPr="00FE29CB">
              <w:rPr>
                <w:sz w:val="16"/>
                <w:szCs w:val="16"/>
              </w:rPr>
              <w:t>in order to</w:t>
            </w:r>
            <w:proofErr w:type="gramEnd"/>
            <w:r w:rsidRPr="00FE29CB">
              <w:rPr>
                <w:sz w:val="16"/>
                <w:szCs w:val="16"/>
              </w:rPr>
              <w:t xml:space="preserve"> safeguard the health, safety, environment and amenity of occupants and of the community in which the premises are situated.</w:t>
            </w:r>
          </w:p>
        </w:tc>
      </w:tr>
      <w:tr w:rsidR="000D7559" w:rsidRPr="00FE29CB" w14:paraId="7FAEE64B" w14:textId="77777777" w:rsidTr="00FE29CB">
        <w:trPr>
          <w:cantSplit/>
        </w:trPr>
        <w:tc>
          <w:tcPr>
            <w:tcW w:w="4077" w:type="dxa"/>
            <w:shd w:val="clear" w:color="auto" w:fill="DBE5F1" w:themeFill="accent1" w:themeFillTint="33"/>
          </w:tcPr>
          <w:p w14:paraId="46EBDCD1" w14:textId="77777777" w:rsidR="00C32D9B" w:rsidRPr="00FE29CB" w:rsidRDefault="000D7559" w:rsidP="005F2AC0">
            <w:pPr>
              <w:spacing w:before="60" w:after="60"/>
              <w:rPr>
                <w:b/>
                <w:i/>
                <w:sz w:val="16"/>
                <w:szCs w:val="16"/>
              </w:rPr>
            </w:pPr>
            <w:r w:rsidRPr="00FE29CB">
              <w:rPr>
                <w:b/>
                <w:i/>
                <w:sz w:val="16"/>
                <w:szCs w:val="16"/>
              </w:rPr>
              <w:t>Caravan Parks and Relocatable Home Parks Subordinate Local Law 2000</w:t>
            </w:r>
          </w:p>
        </w:tc>
        <w:tc>
          <w:tcPr>
            <w:tcW w:w="10994" w:type="dxa"/>
          </w:tcPr>
          <w:p w14:paraId="61832853" w14:textId="77777777" w:rsidR="000D7559" w:rsidRPr="00FE29CB" w:rsidRDefault="002F15EE" w:rsidP="005F2AC0">
            <w:pPr>
              <w:spacing w:before="60" w:after="60"/>
              <w:rPr>
                <w:sz w:val="16"/>
                <w:szCs w:val="16"/>
              </w:rPr>
            </w:pPr>
            <w:r w:rsidRPr="00FE29CB">
              <w:rPr>
                <w:sz w:val="16"/>
                <w:szCs w:val="16"/>
              </w:rPr>
              <w:t xml:space="preserve">To assist the implementation of the </w:t>
            </w:r>
            <w:r w:rsidRPr="00FE29CB">
              <w:rPr>
                <w:i/>
                <w:sz w:val="16"/>
                <w:szCs w:val="16"/>
              </w:rPr>
              <w:t>Caravan Parks and Relocatable Home Parks Local Law 2000</w:t>
            </w:r>
            <w:r w:rsidRPr="00FE29CB">
              <w:rPr>
                <w:sz w:val="16"/>
                <w:szCs w:val="16"/>
              </w:rPr>
              <w:t>.</w:t>
            </w:r>
          </w:p>
        </w:tc>
      </w:tr>
      <w:tr w:rsidR="000D7559" w:rsidRPr="00FE29CB" w14:paraId="62CB8C74" w14:textId="77777777" w:rsidTr="00FE29CB">
        <w:trPr>
          <w:cantSplit/>
        </w:trPr>
        <w:tc>
          <w:tcPr>
            <w:tcW w:w="4077" w:type="dxa"/>
            <w:shd w:val="clear" w:color="auto" w:fill="DBE5F1" w:themeFill="accent1" w:themeFillTint="33"/>
          </w:tcPr>
          <w:p w14:paraId="73C5CBE5" w14:textId="77777777" w:rsidR="00C32D9B" w:rsidRPr="00FE29CB" w:rsidRDefault="000D7559" w:rsidP="005F2AC0">
            <w:pPr>
              <w:spacing w:before="60" w:after="60"/>
              <w:rPr>
                <w:b/>
                <w:i/>
                <w:sz w:val="16"/>
                <w:szCs w:val="16"/>
              </w:rPr>
            </w:pPr>
            <w:r w:rsidRPr="00FE29CB">
              <w:rPr>
                <w:b/>
                <w:i/>
                <w:sz w:val="16"/>
                <w:szCs w:val="16"/>
              </w:rPr>
              <w:t>Dutton Park Parking Control Area Local Law 2006</w:t>
            </w:r>
          </w:p>
        </w:tc>
        <w:tc>
          <w:tcPr>
            <w:tcW w:w="10994" w:type="dxa"/>
          </w:tcPr>
          <w:p w14:paraId="062C0BC1" w14:textId="77777777" w:rsidR="000D7559" w:rsidRPr="00FE29CB" w:rsidRDefault="002F15EE" w:rsidP="005F2AC0">
            <w:pPr>
              <w:spacing w:before="60" w:after="60"/>
              <w:rPr>
                <w:sz w:val="16"/>
                <w:szCs w:val="16"/>
              </w:rPr>
            </w:pPr>
            <w:r w:rsidRPr="00FE29CB">
              <w:rPr>
                <w:sz w:val="16"/>
                <w:szCs w:val="16"/>
              </w:rPr>
              <w:t>To create and regulate parking within the Dutton Park Parking Control Area.</w:t>
            </w:r>
          </w:p>
        </w:tc>
      </w:tr>
      <w:tr w:rsidR="000D7559" w:rsidRPr="00FE29CB" w14:paraId="045E7B7C" w14:textId="77777777" w:rsidTr="00FE29CB">
        <w:trPr>
          <w:cantSplit/>
        </w:trPr>
        <w:tc>
          <w:tcPr>
            <w:tcW w:w="4077" w:type="dxa"/>
            <w:shd w:val="clear" w:color="auto" w:fill="DBE5F1" w:themeFill="accent1" w:themeFillTint="33"/>
          </w:tcPr>
          <w:p w14:paraId="35D837D3" w14:textId="77777777" w:rsidR="000D7559" w:rsidRPr="00FE29CB" w:rsidRDefault="000D7559" w:rsidP="005F2AC0">
            <w:pPr>
              <w:spacing w:before="60" w:after="60"/>
              <w:rPr>
                <w:b/>
                <w:i/>
                <w:sz w:val="16"/>
                <w:szCs w:val="16"/>
              </w:rPr>
            </w:pPr>
            <w:r w:rsidRPr="00FE29CB">
              <w:rPr>
                <w:b/>
                <w:i/>
                <w:sz w:val="16"/>
                <w:szCs w:val="16"/>
              </w:rPr>
              <w:t>Entertainment Venues and Events Local Law 1999</w:t>
            </w:r>
          </w:p>
        </w:tc>
        <w:tc>
          <w:tcPr>
            <w:tcW w:w="10994" w:type="dxa"/>
          </w:tcPr>
          <w:p w14:paraId="42E272E4" w14:textId="77777777" w:rsidR="00C32D9B" w:rsidRPr="00FE29CB" w:rsidRDefault="002F15EE" w:rsidP="005F2AC0">
            <w:pPr>
              <w:spacing w:before="60" w:after="60"/>
              <w:rPr>
                <w:sz w:val="16"/>
                <w:szCs w:val="16"/>
              </w:rPr>
            </w:pPr>
            <w:r w:rsidRPr="00FE29CB">
              <w:rPr>
                <w:sz w:val="16"/>
                <w:szCs w:val="16"/>
              </w:rPr>
              <w:t>To ensure that entertainment venues are properly operated and maintained and events properly conducted in order to safeguard the health and safety of patrons and the health, safety, environment and amenity of the community in which the premises are situated or the event conducted.</w:t>
            </w:r>
          </w:p>
        </w:tc>
      </w:tr>
      <w:tr w:rsidR="000D7559" w:rsidRPr="00FE29CB" w14:paraId="21658F9D" w14:textId="77777777" w:rsidTr="00FE29CB">
        <w:trPr>
          <w:cantSplit/>
        </w:trPr>
        <w:tc>
          <w:tcPr>
            <w:tcW w:w="4077" w:type="dxa"/>
            <w:shd w:val="clear" w:color="auto" w:fill="DBE5F1" w:themeFill="accent1" w:themeFillTint="33"/>
          </w:tcPr>
          <w:p w14:paraId="37B3F1AE" w14:textId="77777777" w:rsidR="00C32D9B" w:rsidRPr="00FE29CB" w:rsidRDefault="000D7559" w:rsidP="005F2AC0">
            <w:pPr>
              <w:spacing w:before="60" w:after="60"/>
              <w:rPr>
                <w:b/>
                <w:i/>
                <w:sz w:val="16"/>
                <w:szCs w:val="16"/>
              </w:rPr>
            </w:pPr>
            <w:r w:rsidRPr="00FE29CB">
              <w:rPr>
                <w:b/>
                <w:i/>
                <w:sz w:val="16"/>
                <w:szCs w:val="16"/>
              </w:rPr>
              <w:t>Entertainment Venues and Events Local Law Policy 1999</w:t>
            </w:r>
          </w:p>
        </w:tc>
        <w:tc>
          <w:tcPr>
            <w:tcW w:w="10994" w:type="dxa"/>
          </w:tcPr>
          <w:p w14:paraId="0D4B6B71" w14:textId="77777777" w:rsidR="000D7559" w:rsidRPr="00FE29CB" w:rsidRDefault="002F15EE" w:rsidP="005F2AC0">
            <w:pPr>
              <w:spacing w:before="60" w:after="60"/>
              <w:rPr>
                <w:sz w:val="16"/>
                <w:szCs w:val="16"/>
              </w:rPr>
            </w:pPr>
            <w:r w:rsidRPr="00FE29CB">
              <w:rPr>
                <w:sz w:val="16"/>
                <w:szCs w:val="16"/>
              </w:rPr>
              <w:t xml:space="preserve">To assist the implementation of the </w:t>
            </w:r>
            <w:r w:rsidRPr="00FE29CB">
              <w:rPr>
                <w:i/>
                <w:sz w:val="16"/>
                <w:szCs w:val="16"/>
              </w:rPr>
              <w:t>Entertainment Venues and Events Local Law 1999</w:t>
            </w:r>
            <w:r w:rsidRPr="00FE29CB">
              <w:rPr>
                <w:sz w:val="16"/>
                <w:szCs w:val="16"/>
              </w:rPr>
              <w:t>.</w:t>
            </w:r>
          </w:p>
        </w:tc>
      </w:tr>
      <w:tr w:rsidR="000D7559" w:rsidRPr="00FE29CB" w14:paraId="4CAA215B" w14:textId="77777777" w:rsidTr="00FE29CB">
        <w:trPr>
          <w:cantSplit/>
        </w:trPr>
        <w:tc>
          <w:tcPr>
            <w:tcW w:w="4077" w:type="dxa"/>
            <w:shd w:val="clear" w:color="auto" w:fill="DBE5F1" w:themeFill="accent1" w:themeFillTint="33"/>
          </w:tcPr>
          <w:p w14:paraId="50435167" w14:textId="77777777" w:rsidR="000D7559" w:rsidRPr="00FE29CB" w:rsidRDefault="00A90841" w:rsidP="005F2AC0">
            <w:pPr>
              <w:spacing w:before="60" w:after="60"/>
              <w:rPr>
                <w:b/>
                <w:i/>
                <w:sz w:val="16"/>
                <w:szCs w:val="16"/>
              </w:rPr>
            </w:pPr>
            <w:r w:rsidRPr="00FE29CB">
              <w:rPr>
                <w:b/>
                <w:i/>
                <w:sz w:val="16"/>
                <w:szCs w:val="16"/>
              </w:rPr>
              <w:t>Footpath Dining Local Law 2011</w:t>
            </w:r>
          </w:p>
        </w:tc>
        <w:tc>
          <w:tcPr>
            <w:tcW w:w="10994" w:type="dxa"/>
          </w:tcPr>
          <w:p w14:paraId="4196AE51" w14:textId="77777777" w:rsidR="00F31DD8" w:rsidRPr="00FE29CB" w:rsidRDefault="00DA69D1" w:rsidP="005F2AC0">
            <w:pPr>
              <w:spacing w:before="60" w:after="60"/>
              <w:rPr>
                <w:sz w:val="16"/>
                <w:szCs w:val="16"/>
              </w:rPr>
            </w:pPr>
            <w:r w:rsidRPr="00FE29CB">
              <w:rPr>
                <w:sz w:val="16"/>
                <w:szCs w:val="16"/>
              </w:rPr>
              <w:t>To regulate footpath dining so that it is carried out in a way which ensures the safety of pedestrians, diners, road users; the protection of Council infrastructure; and the maintenance of the amenity of the surrounding area.</w:t>
            </w:r>
          </w:p>
        </w:tc>
      </w:tr>
      <w:tr w:rsidR="000D7559" w:rsidRPr="00FE29CB" w14:paraId="2A5A7B78" w14:textId="77777777" w:rsidTr="00FE29CB">
        <w:trPr>
          <w:cantSplit/>
        </w:trPr>
        <w:tc>
          <w:tcPr>
            <w:tcW w:w="4077" w:type="dxa"/>
            <w:shd w:val="clear" w:color="auto" w:fill="DBE5F1" w:themeFill="accent1" w:themeFillTint="33"/>
          </w:tcPr>
          <w:p w14:paraId="35CE8849" w14:textId="77777777" w:rsidR="000D7559" w:rsidRPr="00FE29CB" w:rsidRDefault="00A90841" w:rsidP="005F2AC0">
            <w:pPr>
              <w:spacing w:before="60" w:after="60"/>
              <w:rPr>
                <w:b/>
                <w:i/>
                <w:sz w:val="16"/>
                <w:szCs w:val="16"/>
              </w:rPr>
            </w:pPr>
            <w:r w:rsidRPr="00FE29CB">
              <w:rPr>
                <w:b/>
                <w:i/>
                <w:sz w:val="16"/>
                <w:szCs w:val="16"/>
              </w:rPr>
              <w:t>(The) Gabba Traffic Area Local Law 2000</w:t>
            </w:r>
          </w:p>
        </w:tc>
        <w:tc>
          <w:tcPr>
            <w:tcW w:w="10994" w:type="dxa"/>
          </w:tcPr>
          <w:p w14:paraId="4F4F2565" w14:textId="77777777" w:rsidR="001D2503" w:rsidRPr="00FE29CB" w:rsidRDefault="00DA69D1" w:rsidP="005F2AC0">
            <w:pPr>
              <w:spacing w:before="60" w:after="60"/>
              <w:rPr>
                <w:sz w:val="16"/>
                <w:szCs w:val="16"/>
              </w:rPr>
            </w:pPr>
            <w:r w:rsidRPr="00FE29CB">
              <w:rPr>
                <w:sz w:val="16"/>
                <w:szCs w:val="16"/>
              </w:rPr>
              <w:t>To create and regulate parking within the Gabba Traffic Area.</w:t>
            </w:r>
          </w:p>
        </w:tc>
      </w:tr>
      <w:tr w:rsidR="000D7559" w:rsidRPr="00FE29CB" w14:paraId="5C0DE50B" w14:textId="77777777" w:rsidTr="00FE29CB">
        <w:trPr>
          <w:cantSplit/>
        </w:trPr>
        <w:tc>
          <w:tcPr>
            <w:tcW w:w="4077" w:type="dxa"/>
            <w:shd w:val="clear" w:color="auto" w:fill="DBE5F1" w:themeFill="accent1" w:themeFillTint="33"/>
          </w:tcPr>
          <w:p w14:paraId="6C3F7405" w14:textId="77777777" w:rsidR="000D7559" w:rsidRPr="00FE29CB" w:rsidRDefault="00A90841" w:rsidP="005F2AC0">
            <w:pPr>
              <w:spacing w:before="60" w:after="60"/>
              <w:rPr>
                <w:b/>
                <w:i/>
                <w:sz w:val="16"/>
                <w:szCs w:val="16"/>
              </w:rPr>
            </w:pPr>
            <w:r w:rsidRPr="00FE29CB">
              <w:rPr>
                <w:b/>
                <w:i/>
                <w:sz w:val="16"/>
                <w:szCs w:val="16"/>
              </w:rPr>
              <w:t>Health, Safety and Amenity Local Law 2009</w:t>
            </w:r>
          </w:p>
        </w:tc>
        <w:tc>
          <w:tcPr>
            <w:tcW w:w="10994" w:type="dxa"/>
          </w:tcPr>
          <w:p w14:paraId="5952E451" w14:textId="77777777" w:rsidR="001D2503" w:rsidRPr="00FE29CB" w:rsidRDefault="00DA69D1" w:rsidP="005F2AC0">
            <w:pPr>
              <w:spacing w:before="60" w:after="60"/>
              <w:rPr>
                <w:sz w:val="16"/>
                <w:szCs w:val="16"/>
              </w:rPr>
            </w:pPr>
            <w:r w:rsidRPr="00FE29CB">
              <w:rPr>
                <w:sz w:val="16"/>
                <w:szCs w:val="16"/>
              </w:rPr>
              <w:t>To protect standards of community health and safety and to enhance local amenities.</w:t>
            </w:r>
          </w:p>
        </w:tc>
      </w:tr>
      <w:tr w:rsidR="000D7559" w:rsidRPr="00FE29CB" w14:paraId="7FAE2774" w14:textId="77777777" w:rsidTr="00FE29CB">
        <w:trPr>
          <w:cantSplit/>
        </w:trPr>
        <w:tc>
          <w:tcPr>
            <w:tcW w:w="4077" w:type="dxa"/>
            <w:shd w:val="clear" w:color="auto" w:fill="DBE5F1" w:themeFill="accent1" w:themeFillTint="33"/>
          </w:tcPr>
          <w:p w14:paraId="1C18CD3C" w14:textId="77777777" w:rsidR="001D2503" w:rsidRPr="00FE29CB" w:rsidRDefault="00A90841" w:rsidP="005F2AC0">
            <w:pPr>
              <w:spacing w:before="60" w:after="60"/>
              <w:rPr>
                <w:b/>
                <w:i/>
                <w:sz w:val="16"/>
                <w:szCs w:val="16"/>
              </w:rPr>
            </w:pPr>
            <w:r w:rsidRPr="00FE29CB">
              <w:rPr>
                <w:b/>
                <w:i/>
                <w:sz w:val="16"/>
                <w:szCs w:val="16"/>
              </w:rPr>
              <w:t>Health, Safety and Amenity Subordinate Local Law 2012</w:t>
            </w:r>
          </w:p>
        </w:tc>
        <w:tc>
          <w:tcPr>
            <w:tcW w:w="10994" w:type="dxa"/>
          </w:tcPr>
          <w:p w14:paraId="7E864265" w14:textId="77777777" w:rsidR="000D7559" w:rsidRPr="00FE29CB" w:rsidRDefault="00DA69D1" w:rsidP="005F2AC0">
            <w:pPr>
              <w:spacing w:before="60" w:after="60"/>
              <w:rPr>
                <w:sz w:val="16"/>
                <w:szCs w:val="16"/>
              </w:rPr>
            </w:pPr>
            <w:r w:rsidRPr="00FE29CB">
              <w:rPr>
                <w:sz w:val="16"/>
                <w:szCs w:val="16"/>
              </w:rPr>
              <w:t>To designate areas of the city in which the duty to maintain building appearances will apply.</w:t>
            </w:r>
          </w:p>
        </w:tc>
      </w:tr>
      <w:tr w:rsidR="00A90841" w:rsidRPr="00FE29CB" w14:paraId="38F0C089" w14:textId="77777777" w:rsidTr="00FE29CB">
        <w:trPr>
          <w:cantSplit/>
        </w:trPr>
        <w:tc>
          <w:tcPr>
            <w:tcW w:w="4077" w:type="dxa"/>
            <w:shd w:val="clear" w:color="auto" w:fill="DBE5F1" w:themeFill="accent1" w:themeFillTint="33"/>
          </w:tcPr>
          <w:p w14:paraId="572C9CA1" w14:textId="77777777" w:rsidR="001D2503" w:rsidRPr="00FE29CB" w:rsidRDefault="00E3207E" w:rsidP="005F2AC0">
            <w:pPr>
              <w:spacing w:before="60" w:after="60"/>
              <w:rPr>
                <w:b/>
                <w:i/>
                <w:sz w:val="16"/>
                <w:szCs w:val="16"/>
              </w:rPr>
            </w:pPr>
            <w:r w:rsidRPr="00FE29CB">
              <w:rPr>
                <w:b/>
                <w:i/>
                <w:sz w:val="16"/>
                <w:szCs w:val="16"/>
              </w:rPr>
              <w:t>Heavy and Long Vehicle Parking Local Law 1999</w:t>
            </w:r>
          </w:p>
        </w:tc>
        <w:tc>
          <w:tcPr>
            <w:tcW w:w="10994" w:type="dxa"/>
          </w:tcPr>
          <w:p w14:paraId="6581A055" w14:textId="77777777" w:rsidR="00A90841" w:rsidRPr="00FE29CB" w:rsidRDefault="00DA69D1" w:rsidP="005F2AC0">
            <w:pPr>
              <w:spacing w:before="60" w:after="60"/>
              <w:rPr>
                <w:sz w:val="16"/>
                <w:szCs w:val="16"/>
              </w:rPr>
            </w:pPr>
            <w:r w:rsidRPr="00FE29CB">
              <w:rPr>
                <w:sz w:val="16"/>
                <w:szCs w:val="16"/>
              </w:rPr>
              <w:t>To provide for the restriction of parking of heavy and long vehicles near residential land.</w:t>
            </w:r>
          </w:p>
        </w:tc>
      </w:tr>
      <w:tr w:rsidR="00A90841" w:rsidRPr="00FE29CB" w14:paraId="6B5597C1" w14:textId="77777777" w:rsidTr="00FE29CB">
        <w:trPr>
          <w:cantSplit/>
        </w:trPr>
        <w:tc>
          <w:tcPr>
            <w:tcW w:w="4077" w:type="dxa"/>
            <w:shd w:val="clear" w:color="auto" w:fill="DBE5F1" w:themeFill="accent1" w:themeFillTint="33"/>
          </w:tcPr>
          <w:p w14:paraId="07171194" w14:textId="77777777" w:rsidR="00A90841" w:rsidRPr="00FE29CB" w:rsidRDefault="00E3207E" w:rsidP="005F2AC0">
            <w:pPr>
              <w:spacing w:before="60" w:after="60"/>
              <w:rPr>
                <w:b/>
                <w:i/>
                <w:sz w:val="16"/>
                <w:szCs w:val="16"/>
              </w:rPr>
            </w:pPr>
            <w:r w:rsidRPr="00FE29CB">
              <w:rPr>
                <w:b/>
                <w:i/>
                <w:sz w:val="16"/>
                <w:szCs w:val="16"/>
              </w:rPr>
              <w:t>Lang Park Traffic Area Local Law 2002</w:t>
            </w:r>
          </w:p>
        </w:tc>
        <w:tc>
          <w:tcPr>
            <w:tcW w:w="10994" w:type="dxa"/>
          </w:tcPr>
          <w:p w14:paraId="1B0A0B06" w14:textId="77777777" w:rsidR="001D2503" w:rsidRPr="00FE29CB" w:rsidRDefault="00DA69D1" w:rsidP="005F2AC0">
            <w:pPr>
              <w:spacing w:before="60" w:after="60"/>
              <w:rPr>
                <w:sz w:val="16"/>
                <w:szCs w:val="16"/>
              </w:rPr>
            </w:pPr>
            <w:r w:rsidRPr="00FE29CB">
              <w:rPr>
                <w:sz w:val="16"/>
                <w:szCs w:val="16"/>
              </w:rPr>
              <w:t>To create and regulate parking within the Lang Park Traffic Area.</w:t>
            </w:r>
          </w:p>
        </w:tc>
      </w:tr>
      <w:tr w:rsidR="00A90841" w:rsidRPr="00FE29CB" w14:paraId="59067430" w14:textId="77777777" w:rsidTr="00FE29CB">
        <w:trPr>
          <w:cantSplit/>
        </w:trPr>
        <w:tc>
          <w:tcPr>
            <w:tcW w:w="4077" w:type="dxa"/>
            <w:shd w:val="clear" w:color="auto" w:fill="DBE5F1" w:themeFill="accent1" w:themeFillTint="33"/>
          </w:tcPr>
          <w:p w14:paraId="4DABB841" w14:textId="77777777" w:rsidR="00A90841" w:rsidRPr="00FE29CB" w:rsidRDefault="00E3207E" w:rsidP="005F2AC0">
            <w:pPr>
              <w:spacing w:before="60" w:after="60"/>
              <w:rPr>
                <w:b/>
                <w:i/>
                <w:sz w:val="16"/>
                <w:szCs w:val="16"/>
              </w:rPr>
            </w:pPr>
            <w:r w:rsidRPr="00FE29CB">
              <w:rPr>
                <w:b/>
                <w:i/>
                <w:sz w:val="16"/>
                <w:szCs w:val="16"/>
              </w:rPr>
              <w:lastRenderedPageBreak/>
              <w:t>Meetings Local Law 2001</w:t>
            </w:r>
          </w:p>
        </w:tc>
        <w:tc>
          <w:tcPr>
            <w:tcW w:w="10994" w:type="dxa"/>
          </w:tcPr>
          <w:p w14:paraId="4FC87A3E" w14:textId="77777777" w:rsidR="001D2503" w:rsidRPr="00FE29CB" w:rsidRDefault="00B7769B" w:rsidP="005F2AC0">
            <w:pPr>
              <w:spacing w:before="60" w:after="60"/>
              <w:rPr>
                <w:sz w:val="16"/>
                <w:szCs w:val="16"/>
              </w:rPr>
            </w:pPr>
            <w:r w:rsidRPr="00FE29CB">
              <w:rPr>
                <w:sz w:val="16"/>
                <w:szCs w:val="16"/>
              </w:rPr>
              <w:t>To provide for the orderly and proper conduct of Council and Committee meetings.</w:t>
            </w:r>
          </w:p>
        </w:tc>
      </w:tr>
      <w:tr w:rsidR="00A90841" w:rsidRPr="00FE29CB" w14:paraId="2AC81D8A" w14:textId="77777777" w:rsidTr="00FE29CB">
        <w:trPr>
          <w:cantSplit/>
        </w:trPr>
        <w:tc>
          <w:tcPr>
            <w:tcW w:w="4077" w:type="dxa"/>
            <w:shd w:val="clear" w:color="auto" w:fill="DBE5F1" w:themeFill="accent1" w:themeFillTint="33"/>
          </w:tcPr>
          <w:p w14:paraId="67A44335" w14:textId="77777777" w:rsidR="00A90841" w:rsidRPr="00FE29CB" w:rsidRDefault="00E3207E" w:rsidP="005F2AC0">
            <w:pPr>
              <w:spacing w:before="60" w:after="60"/>
              <w:rPr>
                <w:b/>
                <w:i/>
                <w:sz w:val="16"/>
                <w:szCs w:val="16"/>
              </w:rPr>
            </w:pPr>
            <w:r w:rsidRPr="00FE29CB">
              <w:rPr>
                <w:b/>
                <w:i/>
                <w:sz w:val="16"/>
                <w:szCs w:val="16"/>
              </w:rPr>
              <w:t>Natural Assets Local Law 2003</w:t>
            </w:r>
          </w:p>
        </w:tc>
        <w:tc>
          <w:tcPr>
            <w:tcW w:w="10994" w:type="dxa"/>
          </w:tcPr>
          <w:p w14:paraId="23B32611" w14:textId="77777777" w:rsidR="001D2503" w:rsidRPr="00FE29CB" w:rsidRDefault="00B7769B" w:rsidP="005F2AC0">
            <w:pPr>
              <w:spacing w:before="60" w:after="60"/>
              <w:rPr>
                <w:sz w:val="16"/>
                <w:szCs w:val="16"/>
              </w:rPr>
            </w:pPr>
            <w:r w:rsidRPr="00FE29CB">
              <w:rPr>
                <w:sz w:val="16"/>
                <w:szCs w:val="16"/>
              </w:rPr>
              <w:t>To protect the biodiversity values of the City including, but not limited to, the habitat and ecological requirements of native flora and fauna; to preserve natural landforms; to facilitate the retention of the landscape character of the City; to facilitate the retention of the historical and cultural values of the City by restricting indiscriminate clearing of vegetation; to control hazardous vegetation; and to control and manage pest vegetation.</w:t>
            </w:r>
          </w:p>
        </w:tc>
      </w:tr>
      <w:tr w:rsidR="00A90841" w:rsidRPr="00FE29CB" w14:paraId="469762D9" w14:textId="77777777" w:rsidTr="00FE29CB">
        <w:trPr>
          <w:cantSplit/>
        </w:trPr>
        <w:tc>
          <w:tcPr>
            <w:tcW w:w="4077" w:type="dxa"/>
            <w:shd w:val="clear" w:color="auto" w:fill="DBE5F1" w:themeFill="accent1" w:themeFillTint="33"/>
          </w:tcPr>
          <w:p w14:paraId="5A21F5EC" w14:textId="77777777" w:rsidR="00A90841" w:rsidRPr="00FE29CB" w:rsidRDefault="00E3207E" w:rsidP="005F2AC0">
            <w:pPr>
              <w:spacing w:before="60" w:after="60"/>
              <w:rPr>
                <w:b/>
                <w:i/>
                <w:sz w:val="16"/>
                <w:szCs w:val="16"/>
              </w:rPr>
            </w:pPr>
            <w:r w:rsidRPr="00FE29CB">
              <w:rPr>
                <w:b/>
                <w:i/>
                <w:sz w:val="16"/>
                <w:szCs w:val="16"/>
              </w:rPr>
              <w:t>Paid Parking Machines Local Law 2003</w:t>
            </w:r>
          </w:p>
        </w:tc>
        <w:tc>
          <w:tcPr>
            <w:tcW w:w="10994" w:type="dxa"/>
          </w:tcPr>
          <w:p w14:paraId="63E440D0" w14:textId="77777777" w:rsidR="001D2503" w:rsidRPr="00FE29CB" w:rsidRDefault="00B7769B" w:rsidP="005F2AC0">
            <w:pPr>
              <w:spacing w:before="60" w:after="60"/>
              <w:rPr>
                <w:sz w:val="16"/>
                <w:szCs w:val="16"/>
              </w:rPr>
            </w:pPr>
            <w:r w:rsidRPr="00FE29CB">
              <w:rPr>
                <w:sz w:val="16"/>
                <w:szCs w:val="16"/>
              </w:rPr>
              <w:t>To provide for paid parking by pre-paid voucher; and to regulate parking in paid parking machine zones.</w:t>
            </w:r>
          </w:p>
        </w:tc>
      </w:tr>
      <w:tr w:rsidR="00A90841" w:rsidRPr="00FE29CB" w14:paraId="240705F8" w14:textId="77777777" w:rsidTr="00FE29CB">
        <w:trPr>
          <w:cantSplit/>
        </w:trPr>
        <w:tc>
          <w:tcPr>
            <w:tcW w:w="4077" w:type="dxa"/>
            <w:shd w:val="clear" w:color="auto" w:fill="DBE5F1" w:themeFill="accent1" w:themeFillTint="33"/>
          </w:tcPr>
          <w:p w14:paraId="38B7FF44" w14:textId="77777777" w:rsidR="00A90841" w:rsidRPr="00FE29CB" w:rsidRDefault="00B7769B" w:rsidP="005F2AC0">
            <w:pPr>
              <w:spacing w:before="60" w:after="60"/>
              <w:rPr>
                <w:b/>
                <w:i/>
                <w:sz w:val="16"/>
                <w:szCs w:val="16"/>
              </w:rPr>
            </w:pPr>
            <w:r w:rsidRPr="00FE29CB">
              <w:rPr>
                <w:b/>
                <w:i/>
                <w:sz w:val="16"/>
                <w:szCs w:val="16"/>
              </w:rPr>
              <w:t>Public Land and Council Assets Local Law 2014</w:t>
            </w:r>
          </w:p>
        </w:tc>
        <w:tc>
          <w:tcPr>
            <w:tcW w:w="10994" w:type="dxa"/>
          </w:tcPr>
          <w:p w14:paraId="05C8A4C8" w14:textId="77777777" w:rsidR="00B7769B" w:rsidRPr="00FE29CB" w:rsidRDefault="00B7769B" w:rsidP="005F2AC0">
            <w:pPr>
              <w:spacing w:before="60" w:after="60"/>
              <w:rPr>
                <w:sz w:val="16"/>
                <w:szCs w:val="16"/>
              </w:rPr>
            </w:pPr>
            <w:r w:rsidRPr="00FE29CB">
              <w:rPr>
                <w:sz w:val="16"/>
                <w:szCs w:val="16"/>
              </w:rPr>
              <w:t>To:</w:t>
            </w:r>
          </w:p>
          <w:p w14:paraId="7D662E4C" w14:textId="77777777" w:rsidR="00B7769B" w:rsidRPr="00FE29CB" w:rsidRDefault="00B7769B" w:rsidP="005F2AC0">
            <w:pPr>
              <w:spacing w:before="60" w:after="60"/>
              <w:ind w:left="600" w:hanging="600"/>
              <w:rPr>
                <w:sz w:val="16"/>
                <w:szCs w:val="16"/>
              </w:rPr>
            </w:pPr>
            <w:r w:rsidRPr="00FE29CB">
              <w:rPr>
                <w:sz w:val="16"/>
                <w:szCs w:val="16"/>
              </w:rPr>
              <w:t>(a)</w:t>
            </w:r>
            <w:r w:rsidRPr="00FE29CB">
              <w:rPr>
                <w:sz w:val="16"/>
                <w:szCs w:val="16"/>
              </w:rPr>
              <w:tab/>
              <w:t>provide for the management and regulation of activities in or on—</w:t>
            </w:r>
          </w:p>
          <w:p w14:paraId="540B08CD" w14:textId="77777777" w:rsidR="00B7769B" w:rsidRPr="00FE29CB" w:rsidRDefault="00B7769B" w:rsidP="005F2AC0">
            <w:pPr>
              <w:spacing w:before="60" w:after="60"/>
              <w:ind w:left="1167" w:hanging="567"/>
              <w:rPr>
                <w:sz w:val="16"/>
                <w:szCs w:val="16"/>
              </w:rPr>
            </w:pPr>
            <w:r w:rsidRPr="00FE29CB">
              <w:rPr>
                <w:sz w:val="16"/>
                <w:szCs w:val="16"/>
              </w:rPr>
              <w:t>(</w:t>
            </w:r>
            <w:proofErr w:type="spellStart"/>
            <w:r w:rsidRPr="00FE29CB">
              <w:rPr>
                <w:sz w:val="16"/>
                <w:szCs w:val="16"/>
              </w:rPr>
              <w:t>i</w:t>
            </w:r>
            <w:proofErr w:type="spellEnd"/>
            <w:r w:rsidRPr="00FE29CB">
              <w:rPr>
                <w:sz w:val="16"/>
                <w:szCs w:val="16"/>
              </w:rPr>
              <w:t>)</w:t>
            </w:r>
            <w:r w:rsidRPr="00FE29CB">
              <w:rPr>
                <w:sz w:val="16"/>
                <w:szCs w:val="16"/>
              </w:rPr>
              <w:tab/>
              <w:t xml:space="preserve">Council parks, open spaces, </w:t>
            </w:r>
            <w:proofErr w:type="gramStart"/>
            <w:r w:rsidRPr="00FE29CB">
              <w:rPr>
                <w:sz w:val="16"/>
                <w:szCs w:val="16"/>
              </w:rPr>
              <w:t>bushland</w:t>
            </w:r>
            <w:proofErr w:type="gramEnd"/>
            <w:r w:rsidRPr="00FE29CB">
              <w:rPr>
                <w:sz w:val="16"/>
                <w:szCs w:val="16"/>
              </w:rPr>
              <w:t xml:space="preserve"> and conservation areas; and</w:t>
            </w:r>
          </w:p>
          <w:p w14:paraId="465D8F97" w14:textId="77777777" w:rsidR="00B7769B" w:rsidRPr="00FE29CB" w:rsidRDefault="00B7769B" w:rsidP="005F2AC0">
            <w:pPr>
              <w:spacing w:before="60" w:after="60"/>
              <w:ind w:left="1167" w:hanging="567"/>
              <w:rPr>
                <w:sz w:val="16"/>
                <w:szCs w:val="16"/>
              </w:rPr>
            </w:pPr>
            <w:r w:rsidRPr="00FE29CB">
              <w:rPr>
                <w:sz w:val="16"/>
                <w:szCs w:val="16"/>
              </w:rPr>
              <w:t>(ii)</w:t>
            </w:r>
            <w:r w:rsidRPr="00FE29CB">
              <w:rPr>
                <w:sz w:val="16"/>
                <w:szCs w:val="16"/>
              </w:rPr>
              <w:tab/>
              <w:t>malls in the City; and</w:t>
            </w:r>
          </w:p>
          <w:p w14:paraId="0E5A7C02" w14:textId="77777777" w:rsidR="00B7769B" w:rsidRPr="00FE29CB" w:rsidRDefault="00B7769B" w:rsidP="005F2AC0">
            <w:pPr>
              <w:spacing w:before="60" w:after="60"/>
              <w:ind w:left="1167" w:hanging="567"/>
              <w:rPr>
                <w:sz w:val="16"/>
                <w:szCs w:val="16"/>
              </w:rPr>
            </w:pPr>
            <w:r w:rsidRPr="00FE29CB">
              <w:rPr>
                <w:sz w:val="16"/>
                <w:szCs w:val="16"/>
              </w:rPr>
              <w:t>(iii)</w:t>
            </w:r>
            <w:r w:rsidRPr="00FE29CB">
              <w:rPr>
                <w:sz w:val="16"/>
                <w:szCs w:val="16"/>
              </w:rPr>
              <w:tab/>
              <w:t>roads; and</w:t>
            </w:r>
          </w:p>
          <w:p w14:paraId="40541EA3" w14:textId="77777777" w:rsidR="00B7769B" w:rsidRPr="00FE29CB" w:rsidRDefault="00B7769B" w:rsidP="005F2AC0">
            <w:pPr>
              <w:spacing w:before="60" w:after="60"/>
              <w:ind w:left="1167" w:hanging="567"/>
              <w:rPr>
                <w:sz w:val="16"/>
                <w:szCs w:val="16"/>
              </w:rPr>
            </w:pPr>
            <w:r w:rsidRPr="00FE29CB">
              <w:rPr>
                <w:sz w:val="16"/>
                <w:szCs w:val="16"/>
              </w:rPr>
              <w:t>(iv)</w:t>
            </w:r>
            <w:r w:rsidRPr="00FE29CB">
              <w:rPr>
                <w:sz w:val="16"/>
                <w:szCs w:val="16"/>
              </w:rPr>
              <w:tab/>
              <w:t xml:space="preserve">other Council </w:t>
            </w:r>
            <w:proofErr w:type="gramStart"/>
            <w:r w:rsidRPr="00FE29CB">
              <w:rPr>
                <w:sz w:val="16"/>
                <w:szCs w:val="16"/>
              </w:rPr>
              <w:t>assets;</w:t>
            </w:r>
            <w:proofErr w:type="gramEnd"/>
          </w:p>
          <w:p w14:paraId="762818BF" w14:textId="77777777" w:rsidR="00B7769B" w:rsidRPr="00FE29CB" w:rsidRDefault="00B7769B" w:rsidP="005F2AC0">
            <w:pPr>
              <w:spacing w:before="60" w:after="60"/>
              <w:ind w:left="1167" w:hanging="567"/>
              <w:rPr>
                <w:sz w:val="16"/>
                <w:szCs w:val="16"/>
              </w:rPr>
            </w:pPr>
            <w:r w:rsidRPr="00FE29CB">
              <w:rPr>
                <w:sz w:val="16"/>
                <w:szCs w:val="16"/>
              </w:rPr>
              <w:t xml:space="preserve">to </w:t>
            </w:r>
            <w:proofErr w:type="spellStart"/>
            <w:r w:rsidRPr="00FE29CB">
              <w:rPr>
                <w:sz w:val="16"/>
                <w:szCs w:val="16"/>
              </w:rPr>
              <w:t>optimise</w:t>
            </w:r>
            <w:proofErr w:type="spellEnd"/>
            <w:r w:rsidRPr="00FE29CB">
              <w:rPr>
                <w:sz w:val="16"/>
                <w:szCs w:val="16"/>
              </w:rPr>
              <w:t xml:space="preserve"> the benefit derived by the public from that land; and</w:t>
            </w:r>
          </w:p>
          <w:p w14:paraId="7B4A46CD" w14:textId="77777777" w:rsidR="00B7769B" w:rsidRPr="00FE29CB" w:rsidRDefault="00B7769B" w:rsidP="005F2AC0">
            <w:pPr>
              <w:tabs>
                <w:tab w:val="left" w:pos="600"/>
              </w:tabs>
              <w:spacing w:before="60" w:after="60"/>
              <w:ind w:left="600" w:hanging="600"/>
              <w:rPr>
                <w:sz w:val="16"/>
                <w:szCs w:val="16"/>
              </w:rPr>
            </w:pPr>
            <w:r w:rsidRPr="00FE29CB">
              <w:rPr>
                <w:sz w:val="16"/>
                <w:szCs w:val="16"/>
              </w:rPr>
              <w:t>(b)</w:t>
            </w:r>
            <w:r w:rsidRPr="00FE29CB">
              <w:rPr>
                <w:sz w:val="16"/>
                <w:szCs w:val="16"/>
              </w:rPr>
              <w:tab/>
              <w:t>protect Council assets; and</w:t>
            </w:r>
          </w:p>
          <w:p w14:paraId="6B8B2A92" w14:textId="77777777" w:rsidR="00B7769B" w:rsidRPr="00FE29CB" w:rsidRDefault="00B7769B" w:rsidP="005F2AC0">
            <w:pPr>
              <w:tabs>
                <w:tab w:val="left" w:pos="600"/>
              </w:tabs>
              <w:spacing w:before="60" w:after="60"/>
              <w:ind w:left="600" w:hanging="600"/>
              <w:rPr>
                <w:sz w:val="16"/>
                <w:szCs w:val="16"/>
              </w:rPr>
            </w:pPr>
            <w:r w:rsidRPr="00FE29CB">
              <w:rPr>
                <w:sz w:val="16"/>
                <w:szCs w:val="16"/>
              </w:rPr>
              <w:t>(c)</w:t>
            </w:r>
            <w:r w:rsidRPr="00FE29CB">
              <w:rPr>
                <w:sz w:val="16"/>
                <w:szCs w:val="16"/>
              </w:rPr>
              <w:tab/>
              <w:t>provide for Council consent to be required for certain activities; and</w:t>
            </w:r>
          </w:p>
          <w:p w14:paraId="54ED05DE" w14:textId="77777777" w:rsidR="001D2503" w:rsidRPr="00FE29CB" w:rsidRDefault="00B7769B" w:rsidP="005F2AC0">
            <w:pPr>
              <w:tabs>
                <w:tab w:val="left" w:pos="600"/>
              </w:tabs>
              <w:spacing w:before="60" w:after="60"/>
              <w:ind w:left="600" w:hanging="600"/>
              <w:rPr>
                <w:sz w:val="16"/>
                <w:szCs w:val="16"/>
              </w:rPr>
            </w:pPr>
            <w:r w:rsidRPr="00FE29CB">
              <w:rPr>
                <w:sz w:val="16"/>
                <w:szCs w:val="16"/>
              </w:rPr>
              <w:t>(d)</w:t>
            </w:r>
            <w:r w:rsidRPr="00FE29CB">
              <w:rPr>
                <w:sz w:val="16"/>
                <w:szCs w:val="16"/>
              </w:rPr>
              <w:tab/>
              <w:t>provide a procedure for the removal or confiscation of articles or vehicles situated on Council assets contrary to this or another law, and the storage, return or disposal of those articles or vehicles.</w:t>
            </w:r>
          </w:p>
        </w:tc>
      </w:tr>
      <w:tr w:rsidR="00A90841" w:rsidRPr="00FE29CB" w14:paraId="12DE8DE0" w14:textId="77777777" w:rsidTr="00FE29CB">
        <w:trPr>
          <w:cantSplit/>
        </w:trPr>
        <w:tc>
          <w:tcPr>
            <w:tcW w:w="4077" w:type="dxa"/>
            <w:shd w:val="clear" w:color="auto" w:fill="DBE5F1" w:themeFill="accent1" w:themeFillTint="33"/>
          </w:tcPr>
          <w:p w14:paraId="3C7CB949" w14:textId="77777777" w:rsidR="001D2503" w:rsidRPr="00FE29CB" w:rsidRDefault="00B7769B" w:rsidP="005F2AC0">
            <w:pPr>
              <w:spacing w:before="60" w:after="60"/>
              <w:rPr>
                <w:b/>
                <w:i/>
                <w:sz w:val="16"/>
                <w:szCs w:val="16"/>
              </w:rPr>
            </w:pPr>
            <w:r w:rsidRPr="00FE29CB">
              <w:rPr>
                <w:b/>
                <w:i/>
                <w:sz w:val="16"/>
                <w:szCs w:val="16"/>
              </w:rPr>
              <w:t>Queensland Tennis Centre Parking Area Local Law 2009</w:t>
            </w:r>
          </w:p>
        </w:tc>
        <w:tc>
          <w:tcPr>
            <w:tcW w:w="10994" w:type="dxa"/>
          </w:tcPr>
          <w:p w14:paraId="17DCF638" w14:textId="77777777" w:rsidR="00A90841" w:rsidRPr="00FE29CB" w:rsidRDefault="00F94C3E" w:rsidP="005F2AC0">
            <w:pPr>
              <w:spacing w:before="60" w:after="60"/>
              <w:rPr>
                <w:sz w:val="16"/>
                <w:szCs w:val="16"/>
              </w:rPr>
            </w:pPr>
            <w:r w:rsidRPr="00FE29CB">
              <w:rPr>
                <w:sz w:val="16"/>
                <w:szCs w:val="16"/>
              </w:rPr>
              <w:t>To create and regulate parking within the Queensland Tennis Centre Parking Area.</w:t>
            </w:r>
          </w:p>
        </w:tc>
      </w:tr>
      <w:tr w:rsidR="00A90841" w:rsidRPr="00FE29CB" w14:paraId="175829F1" w14:textId="77777777" w:rsidTr="00FE29CB">
        <w:trPr>
          <w:cantSplit/>
        </w:trPr>
        <w:tc>
          <w:tcPr>
            <w:tcW w:w="4077" w:type="dxa"/>
            <w:shd w:val="clear" w:color="auto" w:fill="DBE5F1" w:themeFill="accent1" w:themeFillTint="33"/>
          </w:tcPr>
          <w:p w14:paraId="7EF58172" w14:textId="77777777" w:rsidR="00A90841" w:rsidRPr="00FE29CB" w:rsidRDefault="00B7769B" w:rsidP="005F2AC0">
            <w:pPr>
              <w:spacing w:before="60" w:after="60"/>
              <w:rPr>
                <w:b/>
                <w:i/>
                <w:sz w:val="16"/>
                <w:szCs w:val="16"/>
              </w:rPr>
            </w:pPr>
            <w:r w:rsidRPr="00FE29CB">
              <w:rPr>
                <w:b/>
                <w:i/>
                <w:sz w:val="16"/>
                <w:szCs w:val="16"/>
              </w:rPr>
              <w:t>Regulated Parking Permit Local Law 1996</w:t>
            </w:r>
          </w:p>
        </w:tc>
        <w:tc>
          <w:tcPr>
            <w:tcW w:w="10994" w:type="dxa"/>
          </w:tcPr>
          <w:p w14:paraId="2B73DFA9" w14:textId="77777777" w:rsidR="00C73FA5" w:rsidRPr="00FE29CB" w:rsidRDefault="00C73FA5" w:rsidP="005F2AC0">
            <w:pPr>
              <w:spacing w:before="60" w:after="60"/>
              <w:rPr>
                <w:sz w:val="16"/>
                <w:szCs w:val="16"/>
              </w:rPr>
            </w:pPr>
            <w:r w:rsidRPr="00FE29CB">
              <w:rPr>
                <w:sz w:val="16"/>
                <w:szCs w:val="16"/>
              </w:rPr>
              <w:t xml:space="preserve">To provide a parking permit system for residents in regulated parking permit scheme areas, visitors and </w:t>
            </w:r>
            <w:proofErr w:type="spellStart"/>
            <w:r w:rsidRPr="00FE29CB">
              <w:rPr>
                <w:sz w:val="16"/>
                <w:szCs w:val="16"/>
              </w:rPr>
              <w:t>carers</w:t>
            </w:r>
            <w:proofErr w:type="spellEnd"/>
            <w:r w:rsidRPr="00FE29CB">
              <w:rPr>
                <w:sz w:val="16"/>
                <w:szCs w:val="16"/>
              </w:rPr>
              <w:t xml:space="preserve"> of those residents, certain vessel occupiers, and car-share operators that will allow the parking of their vehicles in certain regulated parking permit scheme areas contrary to an official traffic sign regulating parking by time.</w:t>
            </w:r>
          </w:p>
        </w:tc>
      </w:tr>
      <w:tr w:rsidR="00A90841" w:rsidRPr="00FE29CB" w14:paraId="2CFEBBBE" w14:textId="77777777" w:rsidTr="00FE29CB">
        <w:trPr>
          <w:cantSplit/>
        </w:trPr>
        <w:tc>
          <w:tcPr>
            <w:tcW w:w="4077" w:type="dxa"/>
            <w:shd w:val="clear" w:color="auto" w:fill="DBE5F1" w:themeFill="accent1" w:themeFillTint="33"/>
          </w:tcPr>
          <w:p w14:paraId="2C4DCA55" w14:textId="77777777" w:rsidR="001D2503" w:rsidRPr="00FE29CB" w:rsidRDefault="00B7769B" w:rsidP="005F2AC0">
            <w:pPr>
              <w:spacing w:before="60" w:after="60"/>
              <w:rPr>
                <w:b/>
                <w:i/>
                <w:sz w:val="16"/>
                <w:szCs w:val="16"/>
              </w:rPr>
            </w:pPr>
            <w:r w:rsidRPr="00FE29CB">
              <w:rPr>
                <w:b/>
                <w:i/>
                <w:sz w:val="16"/>
                <w:szCs w:val="16"/>
              </w:rPr>
              <w:t>Robertson/Macgregor Traffic Area Regulated Parking Local Law 1996</w:t>
            </w:r>
          </w:p>
        </w:tc>
        <w:tc>
          <w:tcPr>
            <w:tcW w:w="10994" w:type="dxa"/>
          </w:tcPr>
          <w:p w14:paraId="3F57F92B" w14:textId="77777777" w:rsidR="00A90841" w:rsidRPr="00FE29CB" w:rsidRDefault="00F94C3E" w:rsidP="005F2AC0">
            <w:pPr>
              <w:spacing w:before="60" w:after="60"/>
              <w:rPr>
                <w:sz w:val="16"/>
                <w:szCs w:val="16"/>
              </w:rPr>
            </w:pPr>
            <w:r w:rsidRPr="00FE29CB">
              <w:rPr>
                <w:sz w:val="16"/>
                <w:szCs w:val="16"/>
              </w:rPr>
              <w:t>To create and regulate parking within the Robertson/Macgregor Traffic Area.</w:t>
            </w:r>
          </w:p>
        </w:tc>
      </w:tr>
      <w:tr w:rsidR="00A90841" w:rsidRPr="00FE29CB" w14:paraId="16FD7122" w14:textId="77777777" w:rsidTr="00FE29CB">
        <w:trPr>
          <w:cantSplit/>
        </w:trPr>
        <w:tc>
          <w:tcPr>
            <w:tcW w:w="4077" w:type="dxa"/>
            <w:shd w:val="clear" w:color="auto" w:fill="DBE5F1" w:themeFill="accent1" w:themeFillTint="33"/>
          </w:tcPr>
          <w:p w14:paraId="437528B0" w14:textId="77777777" w:rsidR="001D2503" w:rsidRPr="00FE29CB" w:rsidRDefault="00B7769B" w:rsidP="005F2AC0">
            <w:pPr>
              <w:spacing w:before="60" w:after="60"/>
              <w:rPr>
                <w:b/>
                <w:i/>
                <w:sz w:val="16"/>
                <w:szCs w:val="16"/>
              </w:rPr>
            </w:pPr>
            <w:r w:rsidRPr="00FE29CB">
              <w:rPr>
                <w:b/>
                <w:i/>
                <w:sz w:val="16"/>
                <w:szCs w:val="16"/>
              </w:rPr>
              <w:t>St Lucia Traffic Area Regulated Parking Local Law 1998</w:t>
            </w:r>
          </w:p>
        </w:tc>
        <w:tc>
          <w:tcPr>
            <w:tcW w:w="10994" w:type="dxa"/>
          </w:tcPr>
          <w:p w14:paraId="00A6B86A" w14:textId="77777777" w:rsidR="00A90841" w:rsidRPr="00FE29CB" w:rsidRDefault="00F94C3E" w:rsidP="005F2AC0">
            <w:pPr>
              <w:spacing w:before="60" w:after="60"/>
              <w:rPr>
                <w:sz w:val="16"/>
                <w:szCs w:val="16"/>
              </w:rPr>
            </w:pPr>
            <w:r w:rsidRPr="00FE29CB">
              <w:rPr>
                <w:sz w:val="16"/>
                <w:szCs w:val="16"/>
              </w:rPr>
              <w:t>To create and regulate parking within the St Lucia Traffic Area.</w:t>
            </w:r>
          </w:p>
        </w:tc>
      </w:tr>
    </w:tbl>
    <w:p w14:paraId="13E9E8CB" w14:textId="77777777" w:rsidR="009F0BC3" w:rsidRPr="00934FB1" w:rsidRDefault="009F0BC3" w:rsidP="006F5192">
      <w:pPr>
        <w:rPr>
          <w:sz w:val="20"/>
        </w:rPr>
      </w:pPr>
    </w:p>
    <w:p w14:paraId="0F945EA5" w14:textId="77777777" w:rsidR="00BA014D" w:rsidRPr="00934FB1" w:rsidRDefault="00BA014D" w:rsidP="005433D2">
      <w:pPr>
        <w:keepNext/>
        <w:rPr>
          <w:b/>
          <w:sz w:val="20"/>
        </w:rPr>
      </w:pPr>
      <w:r w:rsidRPr="00934FB1">
        <w:rPr>
          <w:b/>
          <w:sz w:val="20"/>
        </w:rPr>
        <w:t xml:space="preserve">Local Laws made under the </w:t>
      </w:r>
      <w:r w:rsidRPr="00934FB1">
        <w:rPr>
          <w:b/>
          <w:i/>
          <w:sz w:val="20"/>
        </w:rPr>
        <w:t>City of Brisbane Act 1924</w:t>
      </w:r>
      <w:r w:rsidRPr="00934FB1">
        <w:rPr>
          <w:b/>
          <w:sz w:val="20"/>
        </w:rPr>
        <w:t xml:space="preserve"> and approved by the Governor in Council</w:t>
      </w:r>
    </w:p>
    <w:p w14:paraId="49FFA630" w14:textId="77777777" w:rsidR="00BA014D" w:rsidRDefault="00BA014D" w:rsidP="005433D2">
      <w:pPr>
        <w:keepNext/>
      </w:pPr>
    </w:p>
    <w:p w14:paraId="6F975125"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1 Arrangement, Repeal and Savings</w:t>
      </w:r>
    </w:p>
    <w:p w14:paraId="1B10E889"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2 City Service and Administration</w:t>
      </w:r>
    </w:p>
    <w:p w14:paraId="72B59F6A"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4 Legal Proceedings</w:t>
      </w:r>
    </w:p>
    <w:p w14:paraId="3CB1A8EF"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6 Streets, Bridges, Culverts, Etc.</w:t>
      </w:r>
    </w:p>
    <w:p w14:paraId="06AAA362"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7 Ferries, Jetties and Pontoons</w:t>
      </w:r>
    </w:p>
    <w:p w14:paraId="5B4A8FD0"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10 Transport</w:t>
      </w:r>
    </w:p>
    <w:p w14:paraId="567BF4A7"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11 Sundry Matters Relating to Structures</w:t>
      </w:r>
    </w:p>
    <w:p w14:paraId="6C659F8E"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14 Parking and Control of Traffic</w:t>
      </w:r>
    </w:p>
    <w:p w14:paraId="11A6F237"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Chapter 19 Queen Street Mall</w:t>
      </w:r>
    </w:p>
    <w:p w14:paraId="4CA6E38C" w14:textId="77777777" w:rsidR="00BA014D" w:rsidRPr="003239AF" w:rsidRDefault="00BA014D" w:rsidP="00A37ED4">
      <w:pPr>
        <w:pStyle w:val="ListParagraph"/>
        <w:numPr>
          <w:ilvl w:val="0"/>
          <w:numId w:val="7"/>
        </w:numPr>
        <w:ind w:left="426" w:hanging="426"/>
        <w:rPr>
          <w:sz w:val="16"/>
          <w:szCs w:val="16"/>
        </w:rPr>
      </w:pPr>
      <w:r w:rsidRPr="003239AF">
        <w:rPr>
          <w:sz w:val="16"/>
          <w:szCs w:val="16"/>
        </w:rPr>
        <w:t>City Service Local Law 1972</w:t>
      </w:r>
    </w:p>
    <w:sectPr w:rsidR="00BA014D" w:rsidRPr="003239AF" w:rsidSect="004E1973">
      <w:footerReference w:type="default" r:id="rId13"/>
      <w:headerReference w:type="first" r:id="rId14"/>
      <w:footerReference w:type="first" r:id="rId15"/>
      <w:pgSz w:w="16840" w:h="11907" w:orient="landscape" w:code="9"/>
      <w:pgMar w:top="1139" w:right="851" w:bottom="708"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A697" w14:textId="77777777" w:rsidR="00C32D9B" w:rsidRDefault="00C32D9B">
      <w:r>
        <w:separator/>
      </w:r>
    </w:p>
  </w:endnote>
  <w:endnote w:type="continuationSeparator" w:id="0">
    <w:p w14:paraId="68070F84" w14:textId="77777777" w:rsidR="00C32D9B" w:rsidRDefault="00C3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F8AE" w14:textId="77777777" w:rsidR="00C32D9B" w:rsidRPr="009665CA" w:rsidRDefault="00C32D9B" w:rsidP="003239AF">
    <w:pPr>
      <w:pStyle w:val="Footer"/>
      <w:jc w:val="center"/>
      <w:rPr>
        <w:sz w:val="18"/>
        <w:szCs w:val="18"/>
        <w:lang w:val="en-AU"/>
      </w:rPr>
    </w:pPr>
    <w:r w:rsidRPr="009665CA">
      <w:rPr>
        <w:sz w:val="18"/>
        <w:szCs w:val="18"/>
      </w:rPr>
      <w:t xml:space="preserve">Page </w:t>
    </w:r>
    <w:r w:rsidRPr="009665CA">
      <w:rPr>
        <w:b/>
        <w:sz w:val="18"/>
        <w:szCs w:val="18"/>
      </w:rPr>
      <w:fldChar w:fldCharType="begin"/>
    </w:r>
    <w:r w:rsidRPr="009665CA">
      <w:rPr>
        <w:b/>
        <w:sz w:val="18"/>
        <w:szCs w:val="18"/>
      </w:rPr>
      <w:instrText xml:space="preserve"> PAGE  \* Arabic  \* MERGEFORMAT </w:instrText>
    </w:r>
    <w:r w:rsidRPr="009665CA">
      <w:rPr>
        <w:b/>
        <w:sz w:val="18"/>
        <w:szCs w:val="18"/>
      </w:rPr>
      <w:fldChar w:fldCharType="separate"/>
    </w:r>
    <w:r w:rsidR="00CE1A5B">
      <w:rPr>
        <w:b/>
        <w:noProof/>
        <w:sz w:val="18"/>
        <w:szCs w:val="18"/>
      </w:rPr>
      <w:t>2</w:t>
    </w:r>
    <w:r w:rsidRPr="009665CA">
      <w:rPr>
        <w:b/>
        <w:sz w:val="18"/>
        <w:szCs w:val="18"/>
      </w:rPr>
      <w:fldChar w:fldCharType="end"/>
    </w:r>
    <w:r w:rsidRPr="009665CA">
      <w:rPr>
        <w:sz w:val="18"/>
        <w:szCs w:val="18"/>
      </w:rPr>
      <w:t xml:space="preserve"> of </w:t>
    </w:r>
    <w:r w:rsidRPr="009665CA">
      <w:rPr>
        <w:b/>
        <w:sz w:val="18"/>
        <w:szCs w:val="18"/>
      </w:rPr>
      <w:fldChar w:fldCharType="begin"/>
    </w:r>
    <w:r w:rsidRPr="009665CA">
      <w:rPr>
        <w:b/>
        <w:sz w:val="18"/>
        <w:szCs w:val="18"/>
      </w:rPr>
      <w:instrText xml:space="preserve"> NUMPAGES  \* Arabic  \* MERGEFORMAT </w:instrText>
    </w:r>
    <w:r w:rsidRPr="009665CA">
      <w:rPr>
        <w:b/>
        <w:sz w:val="18"/>
        <w:szCs w:val="18"/>
      </w:rPr>
      <w:fldChar w:fldCharType="separate"/>
    </w:r>
    <w:r w:rsidR="00CE1A5B">
      <w:rPr>
        <w:b/>
        <w:noProof/>
        <w:sz w:val="18"/>
        <w:szCs w:val="18"/>
      </w:rPr>
      <w:t>2</w:t>
    </w:r>
    <w:r w:rsidRPr="009665CA">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F849" w14:textId="77777777" w:rsidR="00C32D9B" w:rsidRDefault="00C32D9B">
    <w:pPr>
      <w:pStyle w:val="Footer"/>
    </w:pPr>
  </w:p>
  <w:p w14:paraId="590AD40C" w14:textId="77777777" w:rsidR="00C32D9B" w:rsidRDefault="00C32D9B">
    <w:pPr>
      <w:pStyle w:val="Footer"/>
    </w:pPr>
  </w:p>
  <w:p w14:paraId="0F75ADCC" w14:textId="77777777" w:rsidR="00C32D9B" w:rsidRDefault="00C32D9B">
    <w:pPr>
      <w:pStyle w:val="Footer"/>
    </w:pPr>
  </w:p>
  <w:p w14:paraId="309931FE" w14:textId="77777777" w:rsidR="00C32D9B" w:rsidRPr="009665CA" w:rsidRDefault="00C32D9B" w:rsidP="003239AF">
    <w:pPr>
      <w:pStyle w:val="Footer"/>
      <w:jc w:val="center"/>
      <w:rPr>
        <w:sz w:val="18"/>
        <w:szCs w:val="18"/>
      </w:rPr>
    </w:pPr>
    <w:r w:rsidRPr="009665CA">
      <w:rPr>
        <w:sz w:val="18"/>
        <w:szCs w:val="18"/>
      </w:rPr>
      <w:t xml:space="preserve">Page </w:t>
    </w:r>
    <w:r w:rsidR="008B4311">
      <w:rPr>
        <w:b/>
        <w:sz w:val="18"/>
        <w:szCs w:val="18"/>
      </w:rPr>
      <w:t>1</w:t>
    </w:r>
    <w:r w:rsidRPr="009665CA">
      <w:rPr>
        <w:sz w:val="18"/>
        <w:szCs w:val="18"/>
      </w:rPr>
      <w:t xml:space="preserve"> of </w:t>
    </w:r>
    <w:r w:rsidRPr="009665CA">
      <w:rPr>
        <w:noProof/>
        <w:sz w:val="18"/>
        <w:szCs w:val="18"/>
        <w:lang w:val="en-AU"/>
      </w:rPr>
      <w:drawing>
        <wp:anchor distT="0" distB="0" distL="114300" distR="114300" simplePos="0" relativeHeight="251657728" behindDoc="1" locked="0" layoutInCell="1" allowOverlap="1" wp14:anchorId="7CE7290B" wp14:editId="4B1E941D">
          <wp:simplePos x="0" y="0"/>
          <wp:positionH relativeFrom="column">
            <wp:posOffset>8100060</wp:posOffset>
          </wp:positionH>
          <wp:positionV relativeFrom="paragraph">
            <wp:posOffset>-426085</wp:posOffset>
          </wp:positionV>
          <wp:extent cx="1649730" cy="899160"/>
          <wp:effectExtent l="0" t="0" r="7620" b="0"/>
          <wp:wrapNone/>
          <wp:docPr id="3" name="Picture 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3239AF">
      <w:rPr>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C2C8" w14:textId="77777777" w:rsidR="00C32D9B" w:rsidRDefault="00C32D9B">
      <w:r>
        <w:separator/>
      </w:r>
    </w:p>
  </w:footnote>
  <w:footnote w:type="continuationSeparator" w:id="0">
    <w:p w14:paraId="46A9464B" w14:textId="77777777" w:rsidR="00C32D9B" w:rsidRDefault="00C3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CB4E" w14:textId="15DC8864" w:rsidR="00C32D9B" w:rsidRPr="00B0656B" w:rsidRDefault="00C57F79" w:rsidP="00B0656B">
    <w:pPr>
      <w:pStyle w:val="Header"/>
      <w:jc w:val="right"/>
      <w:rPr>
        <w:sz w:val="18"/>
        <w:szCs w:val="18"/>
      </w:rPr>
    </w:pPr>
    <w:r>
      <w:rPr>
        <w:sz w:val="18"/>
        <w:szCs w:val="18"/>
      </w:rPr>
      <w:t>As at</w:t>
    </w:r>
    <w:r w:rsidR="00C32D9B" w:rsidRPr="00B0656B">
      <w:rPr>
        <w:sz w:val="18"/>
        <w:szCs w:val="18"/>
      </w:rPr>
      <w:t xml:space="preserve"> </w:t>
    </w:r>
    <w:r w:rsidR="00544E40">
      <w:rPr>
        <w:sz w:val="18"/>
        <w:szCs w:val="18"/>
      </w:rPr>
      <w:t>25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165C"/>
    <w:multiLevelType w:val="hybridMultilevel"/>
    <w:tmpl w:val="EFC29AFC"/>
    <w:lvl w:ilvl="0" w:tplc="F1141056">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F307E"/>
    <w:multiLevelType w:val="hybridMultilevel"/>
    <w:tmpl w:val="DC507D82"/>
    <w:lvl w:ilvl="0" w:tplc="6E5A1472">
      <w:start w:val="1"/>
      <w:numFmt w:val="bullet"/>
      <w:pStyle w:val="Box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25F4B"/>
    <w:multiLevelType w:val="hybridMultilevel"/>
    <w:tmpl w:val="2A26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01FC0"/>
    <w:multiLevelType w:val="hybridMultilevel"/>
    <w:tmpl w:val="72EC6104"/>
    <w:lvl w:ilvl="0" w:tplc="F4589C3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B16EC"/>
    <w:multiLevelType w:val="hybridMultilevel"/>
    <w:tmpl w:val="33D84DB4"/>
    <w:lvl w:ilvl="0" w:tplc="D6146A30">
      <w:start w:val="1"/>
      <w:numFmt w:val="decimal"/>
      <w:lvlText w:val="%1."/>
      <w:lvlJc w:val="left"/>
      <w:pPr>
        <w:ind w:left="720" w:hanging="360"/>
      </w:pPr>
      <w:rPr>
        <w:rFonts w:eastAsia="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C85D15"/>
    <w:multiLevelType w:val="hybridMultilevel"/>
    <w:tmpl w:val="5EEC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7F5F9C"/>
    <w:multiLevelType w:val="hybridMultilevel"/>
    <w:tmpl w:val="73969C8E"/>
    <w:lvl w:ilvl="0" w:tplc="F4589C3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E19556D"/>
    <w:multiLevelType w:val="hybridMultilevel"/>
    <w:tmpl w:val="03367DBC"/>
    <w:lvl w:ilvl="0" w:tplc="3E780C6A">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222"/>
    <w:rsid w:val="00072BE7"/>
    <w:rsid w:val="000759DF"/>
    <w:rsid w:val="000C007B"/>
    <w:rsid w:val="000D3222"/>
    <w:rsid w:val="000D7559"/>
    <w:rsid w:val="00180299"/>
    <w:rsid w:val="0019691B"/>
    <w:rsid w:val="001D2503"/>
    <w:rsid w:val="002214C7"/>
    <w:rsid w:val="00225A30"/>
    <w:rsid w:val="002B21B8"/>
    <w:rsid w:val="002F15EE"/>
    <w:rsid w:val="002F2DE6"/>
    <w:rsid w:val="003204CA"/>
    <w:rsid w:val="003239AF"/>
    <w:rsid w:val="00354D47"/>
    <w:rsid w:val="00437F4E"/>
    <w:rsid w:val="004E1973"/>
    <w:rsid w:val="004E7D20"/>
    <w:rsid w:val="005433D2"/>
    <w:rsid w:val="0054443F"/>
    <w:rsid w:val="00544E40"/>
    <w:rsid w:val="00581766"/>
    <w:rsid w:val="005F2AC0"/>
    <w:rsid w:val="006F5192"/>
    <w:rsid w:val="0075375C"/>
    <w:rsid w:val="00754290"/>
    <w:rsid w:val="00780F3F"/>
    <w:rsid w:val="007A4799"/>
    <w:rsid w:val="0085681D"/>
    <w:rsid w:val="00863D29"/>
    <w:rsid w:val="00893E5B"/>
    <w:rsid w:val="008B4311"/>
    <w:rsid w:val="008C289D"/>
    <w:rsid w:val="008E457C"/>
    <w:rsid w:val="00916240"/>
    <w:rsid w:val="00934FB1"/>
    <w:rsid w:val="00945E63"/>
    <w:rsid w:val="009665CA"/>
    <w:rsid w:val="009C3224"/>
    <w:rsid w:val="009F0BC3"/>
    <w:rsid w:val="00A17398"/>
    <w:rsid w:val="00A200BA"/>
    <w:rsid w:val="00A37ED4"/>
    <w:rsid w:val="00A6454C"/>
    <w:rsid w:val="00A77DAD"/>
    <w:rsid w:val="00A90841"/>
    <w:rsid w:val="00AA1F3F"/>
    <w:rsid w:val="00AD4E66"/>
    <w:rsid w:val="00B0656B"/>
    <w:rsid w:val="00B7769B"/>
    <w:rsid w:val="00BA014D"/>
    <w:rsid w:val="00C11CEE"/>
    <w:rsid w:val="00C32D9B"/>
    <w:rsid w:val="00C57F79"/>
    <w:rsid w:val="00C73FA5"/>
    <w:rsid w:val="00CB5ABC"/>
    <w:rsid w:val="00CE1A5B"/>
    <w:rsid w:val="00D23943"/>
    <w:rsid w:val="00D72EBE"/>
    <w:rsid w:val="00DA69D1"/>
    <w:rsid w:val="00DF309A"/>
    <w:rsid w:val="00E3207E"/>
    <w:rsid w:val="00E50E7C"/>
    <w:rsid w:val="00ED4568"/>
    <w:rsid w:val="00EF4183"/>
    <w:rsid w:val="00F25ACB"/>
    <w:rsid w:val="00F31DD8"/>
    <w:rsid w:val="00F60D6C"/>
    <w:rsid w:val="00F6378D"/>
    <w:rsid w:val="00F63973"/>
    <w:rsid w:val="00F80814"/>
    <w:rsid w:val="00F9428E"/>
    <w:rsid w:val="00F94C3E"/>
    <w:rsid w:val="00FE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6277A5"/>
  <w15:docId w15:val="{02466DA2-481F-4248-BF59-EF3DA882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customStyle="1" w:styleId="Cover1">
    <w:name w:val="Cover1"/>
    <w:basedOn w:val="Normal"/>
    <w:rsid w:val="009F0BC3"/>
    <w:pPr>
      <w:spacing w:after="120" w:line="288" w:lineRule="auto"/>
    </w:pPr>
    <w:rPr>
      <w:rFonts w:ascii="Arial Narrow" w:hAnsi="Arial Narrow"/>
      <w:b/>
      <w:color w:val="00447B"/>
      <w:spacing w:val="60"/>
      <w:sz w:val="80"/>
      <w:lang w:val="en-AU"/>
      <w14:shadow w14:blurRad="50800" w14:dist="38100" w14:dir="2700000" w14:sx="100000" w14:sy="100000" w14:kx="0" w14:ky="0" w14:algn="tl">
        <w14:srgbClr w14:val="000000">
          <w14:alpha w14:val="60000"/>
        </w14:srgbClr>
      </w14:shadow>
    </w:rPr>
  </w:style>
  <w:style w:type="paragraph" w:customStyle="1" w:styleId="Cover2">
    <w:name w:val="Cover2"/>
    <w:basedOn w:val="Cover1"/>
    <w:rsid w:val="009F0BC3"/>
    <w:rPr>
      <w:shadow/>
      <w:color w:val="808080"/>
      <w:sz w:val="76"/>
      <w14:shadow w14:blurRad="0" w14:dist="0" w14:dir="0" w14:sx="0" w14:sy="0" w14:kx="0" w14:ky="0" w14:algn="none">
        <w14:srgbClr w14:val="000000"/>
      </w14:shadow>
    </w:rPr>
  </w:style>
  <w:style w:type="paragraph" w:styleId="BodyText">
    <w:name w:val="Body Text"/>
    <w:basedOn w:val="Normal"/>
    <w:link w:val="BodyTextChar"/>
    <w:rsid w:val="009F0BC3"/>
    <w:pPr>
      <w:tabs>
        <w:tab w:val="left" w:pos="794"/>
      </w:tabs>
      <w:spacing w:after="120" w:line="288" w:lineRule="auto"/>
    </w:pPr>
    <w:rPr>
      <w:rFonts w:cs="Arial"/>
      <w:iCs/>
      <w:spacing w:val="10"/>
      <w:sz w:val="20"/>
      <w:lang w:val="en-AU"/>
    </w:rPr>
  </w:style>
  <w:style w:type="character" w:customStyle="1" w:styleId="BodyTextChar">
    <w:name w:val="Body Text Char"/>
    <w:link w:val="BodyText"/>
    <w:rsid w:val="009F0BC3"/>
    <w:rPr>
      <w:rFonts w:ascii="Arial" w:hAnsi="Arial" w:cs="Arial"/>
      <w:iCs/>
      <w:spacing w:val="10"/>
    </w:rPr>
  </w:style>
  <w:style w:type="paragraph" w:customStyle="1" w:styleId="Boxtext">
    <w:name w:val="Box text"/>
    <w:basedOn w:val="Normal"/>
    <w:rsid w:val="009F0BC3"/>
    <w:pPr>
      <w:numPr>
        <w:numId w:val="1"/>
      </w:numPr>
      <w:spacing w:after="120" w:line="288" w:lineRule="auto"/>
    </w:pPr>
    <w:rPr>
      <w:lang w:val="en-AU"/>
    </w:rPr>
  </w:style>
  <w:style w:type="paragraph" w:customStyle="1" w:styleId="tableheaders">
    <w:name w:val="table headers"/>
    <w:basedOn w:val="Normal"/>
    <w:rsid w:val="009F0BC3"/>
    <w:pPr>
      <w:spacing w:after="120"/>
    </w:pPr>
    <w:rPr>
      <w:rFonts w:cs="Arial"/>
      <w:b/>
      <w:bCs/>
      <w:color w:val="FFFFFF"/>
      <w:sz w:val="20"/>
      <w:lang w:val="en-AU"/>
    </w:rPr>
  </w:style>
  <w:style w:type="paragraph" w:customStyle="1" w:styleId="tabletext">
    <w:name w:val="table text"/>
    <w:basedOn w:val="Normal"/>
    <w:rsid w:val="009F0BC3"/>
    <w:pPr>
      <w:spacing w:after="120"/>
    </w:pPr>
    <w:rPr>
      <w:rFonts w:cs="Arial"/>
      <w:sz w:val="20"/>
      <w:lang w:val="en-AU"/>
    </w:rPr>
  </w:style>
  <w:style w:type="table" w:styleId="TableGrid">
    <w:name w:val="Table Grid"/>
    <w:basedOn w:val="TableNormal"/>
    <w:rsid w:val="00B0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14D"/>
    <w:pPr>
      <w:ind w:left="720"/>
      <w:contextualSpacing/>
    </w:pPr>
  </w:style>
  <w:style w:type="paragraph" w:styleId="BalloonText">
    <w:name w:val="Balloon Text"/>
    <w:basedOn w:val="Normal"/>
    <w:link w:val="BalloonTextChar"/>
    <w:rsid w:val="000759DF"/>
    <w:rPr>
      <w:rFonts w:ascii="Tahoma" w:hAnsi="Tahoma" w:cs="Tahoma"/>
      <w:sz w:val="16"/>
      <w:szCs w:val="16"/>
    </w:rPr>
  </w:style>
  <w:style w:type="character" w:customStyle="1" w:styleId="BalloonTextChar">
    <w:name w:val="Balloon Text Char"/>
    <w:basedOn w:val="DefaultParagraphFont"/>
    <w:link w:val="BalloonText"/>
    <w:rsid w:val="000759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Reference xmlns="aad7d824-c3ad-4ffa-9e67-b6f41f149f4b" xsi:nil="true"/>
    <ContactOfficer xmlns="aad7d824-c3ad-4ffa-9e67-b6f41f149f4b">
      <UserInfo>
        <DisplayName/>
        <AccountId>1743</AccountId>
        <AccountType/>
      </UserInfo>
    </ContactOfficer>
  </documentManagement>
</p: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E7C43331C3A74101A2D362D2A7DF353F00F18EDEEBC19A41428B44238DDB319720" ma:contentTypeVersion="3" ma:contentTypeDescription="A Council Document" ma:contentTypeScope="" ma:versionID="51c633f0eed75d8a2fdaea42bb5ce0a7">
  <xsd:schema xmlns:xsd="http://www.w3.org/2001/XMLSchema" xmlns:xs="http://www.w3.org/2001/XMLSchema" xmlns:p="http://schemas.microsoft.com/office/2006/metadata/properties" xmlns:ns2="aad7d824-c3ad-4ffa-9e67-b6f41f149f4b" targetNamespace="http://schemas.microsoft.com/office/2006/metadata/properties" ma:root="true" ma:fieldsID="c0c28a5e8207c32177c5f7483742c4ce" ns2:_="">
    <xsd:import namespace="aad7d824-c3ad-4ffa-9e67-b6f41f149f4b"/>
    <xsd:element name="properties">
      <xsd:complexType>
        <xsd:sequence>
          <xsd:element name="documentManagement">
            <xsd:complexType>
              <xsd:all>
                <xsd:element ref="ns2:TRIMReference" minOccurs="0"/>
                <xsd:element ref="ns2:Contact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7d824-c3ad-4ffa-9e67-b6f41f149f4b" elementFormDefault="qualified">
    <xsd:import namespace="http://schemas.microsoft.com/office/2006/documentManagement/types"/>
    <xsd:import namespace="http://schemas.microsoft.com/office/infopath/2007/PartnerControls"/>
    <xsd:element name="TRIMReference" ma:index="8" nillable="true" ma:displayName="TRIM Reference" ma:internalName="TRIMReference">
      <xsd:simpleType>
        <xsd:restriction base="dms:Text"/>
      </xsd:simpleType>
    </xsd:element>
    <xsd:element name="ContactOfficer" ma:index="9" nillable="true" ma:displayName="Contact Officer" ma:internalName="Contac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78CC2-51A9-45E4-9EFE-EED8977249AC}">
  <ds:schemaRefs>
    <ds:schemaRef ds:uri="http://schemas.microsoft.com/office/2006/documentManagement/types"/>
    <ds:schemaRef ds:uri="http://purl.org/dc/elements/1.1/"/>
    <ds:schemaRef ds:uri="aad7d824-c3ad-4ffa-9e67-b6f41f149f4b"/>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6F3860-E09D-431A-97F5-86F90166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7d824-c3ad-4ffa-9e67-b6f41f149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4B1E3-12BB-4135-B46F-B17984ADDF38}">
  <ds:schemaRefs>
    <ds:schemaRef ds:uri="http://schemas.microsoft.com/office/2006/metadata/longProperties"/>
  </ds:schemaRefs>
</ds:datastoreItem>
</file>

<file path=customXml/itemProps4.xml><?xml version="1.0" encoding="utf-8"?>
<ds:datastoreItem xmlns:ds="http://schemas.openxmlformats.org/officeDocument/2006/customXml" ds:itemID="{D54A0981-4659-43BD-8F9A-C0A910839645}">
  <ds:schemaRefs>
    <ds:schemaRef ds:uri="http://schemas.openxmlformats.org/officeDocument/2006/bibliography"/>
  </ds:schemaRefs>
</ds:datastoreItem>
</file>

<file path=customXml/itemProps5.xml><?xml version="1.0" encoding="utf-8"?>
<ds:datastoreItem xmlns:ds="http://schemas.openxmlformats.org/officeDocument/2006/customXml" ds:itemID="{377D83FE-3663-4243-8024-8290A2380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SES LETTERhead.dot</Template>
  <TotalTime>82</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Brisbane City Council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City Council</dc:title>
  <dc:creator>Kirsten de Hesse</dc:creator>
  <cp:lastModifiedBy>Chantelle Avery</cp:lastModifiedBy>
  <cp:revision>58</cp:revision>
  <cp:lastPrinted>2015-02-04T05:04:00Z</cp:lastPrinted>
  <dcterms:created xsi:type="dcterms:W3CDTF">2015-02-04T04:27:00Z</dcterms:created>
  <dcterms:modified xsi:type="dcterms:W3CDTF">2021-05-25T05:46:00Z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Officer">
    <vt:lpwstr>Rosie Shelley</vt:lpwstr>
  </property>
</Properties>
</file>